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5"/>
      </w:tblGrid>
      <w:tr w:rsidR="008F54CF" w:rsidRPr="008F54CF" w14:paraId="3D883FAD" w14:textId="77777777" w:rsidTr="004772E8">
        <w:tc>
          <w:tcPr>
            <w:tcW w:w="9065" w:type="dxa"/>
          </w:tcPr>
          <w:p w14:paraId="2A67D658" w14:textId="77777777" w:rsidR="004772E8" w:rsidRPr="008F54CF" w:rsidRDefault="004772E8" w:rsidP="007F61C7">
            <w:pPr>
              <w:ind w:left="5812" w:hanging="567"/>
              <w:jc w:val="both"/>
              <w:rPr>
                <w:b/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bookmarkStart w:id="0" w:name="1._NAME_OF_THE_MEDICINAL_PRODUCT"/>
            <w:bookmarkEnd w:id="0"/>
            <w:r w:rsidRPr="008F54CF">
              <w:rPr>
                <w:b/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УТВЕРЖДЕНА</w:t>
            </w:r>
          </w:p>
          <w:p w14:paraId="6C96C45C" w14:textId="77777777" w:rsidR="004772E8" w:rsidRPr="008F54CF" w:rsidRDefault="004772E8" w:rsidP="007F61C7">
            <w:pPr>
              <w:ind w:left="5812" w:hanging="567"/>
              <w:jc w:val="both"/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 xml:space="preserve">Приказом Председателя </w:t>
            </w:r>
          </w:p>
          <w:p w14:paraId="6EF7E7D1" w14:textId="77777777" w:rsidR="004772E8" w:rsidRPr="008F54CF" w:rsidRDefault="004772E8" w:rsidP="007F61C7">
            <w:pPr>
              <w:ind w:left="5812" w:hanging="567"/>
              <w:jc w:val="both"/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</w:pPr>
            <w:r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 xml:space="preserve">РГУ «Комитет </w:t>
            </w:r>
            <w:r w:rsidRPr="008F54CF"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F54CF"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  <w:t>медицинского</w:t>
            </w:r>
            <w:proofErr w:type="gramEnd"/>
            <w:r w:rsidRPr="008F54CF"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  <w:t xml:space="preserve"> и </w:t>
            </w:r>
          </w:p>
          <w:p w14:paraId="37853A6E" w14:textId="77777777" w:rsidR="004772E8" w:rsidRPr="008F54CF" w:rsidRDefault="004772E8" w:rsidP="007F61C7">
            <w:pPr>
              <w:ind w:left="5812" w:hanging="567"/>
              <w:jc w:val="both"/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</w:pPr>
            <w:r w:rsidRPr="008F54CF">
              <w:rPr>
                <w:rFonts w:eastAsiaTheme="minorHAnsi"/>
                <w:color w:val="000000" w:themeColor="text1"/>
                <w:sz w:val="24"/>
                <w:szCs w:val="24"/>
                <w:lang w:val="ru-RU"/>
              </w:rPr>
              <w:t xml:space="preserve">фармацевтического контроля  </w:t>
            </w:r>
          </w:p>
          <w:p w14:paraId="0D1F7165" w14:textId="77777777" w:rsidR="004772E8" w:rsidRPr="008F54CF" w:rsidRDefault="004772E8" w:rsidP="007F61C7">
            <w:pPr>
              <w:ind w:left="5812" w:hanging="567"/>
              <w:jc w:val="both"/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 xml:space="preserve">Министерства здравоохранения </w:t>
            </w:r>
          </w:p>
          <w:p w14:paraId="0A4DE498" w14:textId="77777777" w:rsidR="004772E8" w:rsidRPr="008F54CF" w:rsidRDefault="004772E8" w:rsidP="007F61C7">
            <w:pPr>
              <w:ind w:left="5812" w:hanging="567"/>
              <w:jc w:val="both"/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Республики Казахстан»</w:t>
            </w:r>
          </w:p>
          <w:p w14:paraId="694757D5" w14:textId="77777777" w:rsidR="004772E8" w:rsidRPr="008F54CF" w:rsidRDefault="004772E8" w:rsidP="007F61C7">
            <w:pPr>
              <w:ind w:left="5812" w:hanging="567"/>
              <w:jc w:val="both"/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от «____»____________20__г.</w:t>
            </w:r>
          </w:p>
          <w:p w14:paraId="7101848E" w14:textId="0AA2BC7B" w:rsidR="004772E8" w:rsidRPr="008F54CF" w:rsidRDefault="007F61C7" w:rsidP="007F61C7">
            <w:pPr>
              <w:suppressAutoHyphens/>
              <w:spacing w:before="120"/>
              <w:ind w:right="386"/>
              <w:jc w:val="both"/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</w:pPr>
            <w:r>
              <w:rPr>
                <w:snapToGrid w:val="0"/>
                <w:color w:val="000000" w:themeColor="text1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  <w:r w:rsidR="004772E8" w:rsidRPr="008F54CF">
              <w:rPr>
                <w:snapToGrid w:val="0"/>
                <w:color w:val="000000" w:themeColor="text1"/>
                <w:sz w:val="24"/>
                <w:szCs w:val="24"/>
                <w:lang w:val="ru-RU" w:eastAsia="ru-RU"/>
              </w:rPr>
              <w:t>№ ______________</w:t>
            </w:r>
          </w:p>
          <w:p w14:paraId="11B08FC5" w14:textId="77777777" w:rsidR="004772E8" w:rsidRPr="008F54CF" w:rsidRDefault="004772E8" w:rsidP="007F61C7">
            <w:pPr>
              <w:jc w:val="both"/>
              <w:rPr>
                <w:rStyle w:val="ad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14:paraId="06DE7094" w14:textId="3A1D80F5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2E98B66D" w14:textId="77777777" w:rsidR="00E4555D" w:rsidRPr="008F54CF" w:rsidRDefault="00E4555D" w:rsidP="007F61C7">
      <w:pPr>
        <w:jc w:val="center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Инструкция по медицинскому применению</w:t>
      </w:r>
    </w:p>
    <w:p w14:paraId="339B31DD" w14:textId="77777777" w:rsidR="00E4555D" w:rsidRPr="008F54CF" w:rsidRDefault="00E4555D" w:rsidP="007F61C7">
      <w:pPr>
        <w:jc w:val="center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лекарственного препарата (Листок-вкладыш)</w:t>
      </w:r>
    </w:p>
    <w:p w14:paraId="4568B4A0" w14:textId="0499606A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27F76047" w14:textId="77777777" w:rsidR="00E4555D" w:rsidRPr="008F54CF" w:rsidRDefault="00E4555D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 xml:space="preserve">Торговое наименование </w:t>
      </w:r>
    </w:p>
    <w:p w14:paraId="6FEC3EEC" w14:textId="732D30F8" w:rsidR="00637212" w:rsidRPr="008F54CF" w:rsidRDefault="00694427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РЕСИЛИН</w:t>
      </w:r>
    </w:p>
    <w:p w14:paraId="7B1DB02F" w14:textId="23FF66AD" w:rsidR="00706832" w:rsidRPr="008F54CF" w:rsidRDefault="00706832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6CF0E771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Международное непатентованное название</w:t>
      </w:r>
    </w:p>
    <w:p w14:paraId="70EBBB4E" w14:textId="2F78E5AE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</w:p>
    <w:p w14:paraId="4C101D9A" w14:textId="77777777" w:rsidR="00E4555D" w:rsidRPr="008F54CF" w:rsidRDefault="00E4555D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</w:p>
    <w:p w14:paraId="1E7D96D9" w14:textId="77777777" w:rsidR="00E4555D" w:rsidRPr="008F54CF" w:rsidRDefault="00E4555D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 xml:space="preserve">Лекарственная форма, дозировка  </w:t>
      </w:r>
    </w:p>
    <w:p w14:paraId="0E3405BE" w14:textId="62B4850B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Таблетки 100 мг. </w:t>
      </w:r>
    </w:p>
    <w:p w14:paraId="4260DC99" w14:textId="77777777" w:rsidR="00BE5F73" w:rsidRPr="008F54CF" w:rsidRDefault="00BE5F73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1CA27A0F" w14:textId="77777777" w:rsidR="00E4555D" w:rsidRPr="008F54CF" w:rsidRDefault="00E4555D" w:rsidP="007F61C7">
      <w:pPr>
        <w:jc w:val="both"/>
        <w:rPr>
          <w:bCs/>
          <w:snapToGrid w:val="0"/>
          <w:color w:val="000000" w:themeColor="text1"/>
          <w:sz w:val="24"/>
          <w:szCs w:val="24"/>
          <w:lang w:val="ru-RU" w:eastAsia="ru-RU"/>
        </w:rPr>
      </w:pPr>
      <w:bookmarkStart w:id="1" w:name="OCRUncertain022"/>
      <w:r w:rsidRPr="008F54CF">
        <w:rPr>
          <w:b/>
          <w:bCs/>
          <w:snapToGrid w:val="0"/>
          <w:color w:val="000000" w:themeColor="text1"/>
          <w:sz w:val="24"/>
          <w:szCs w:val="24"/>
          <w:lang w:val="ru-RU" w:eastAsia="ru-RU"/>
        </w:rPr>
        <w:t>Фармакотерапевтическая</w:t>
      </w:r>
      <w:bookmarkEnd w:id="1"/>
      <w:r w:rsidRPr="008F54CF">
        <w:rPr>
          <w:b/>
          <w:bCs/>
          <w:snapToGrid w:val="0"/>
          <w:color w:val="000000" w:themeColor="text1"/>
          <w:sz w:val="24"/>
          <w:szCs w:val="24"/>
          <w:lang w:val="ru-RU" w:eastAsia="ru-RU"/>
        </w:rPr>
        <w:t xml:space="preserve"> группа </w:t>
      </w:r>
    </w:p>
    <w:p w14:paraId="23DE30C7" w14:textId="27F71149" w:rsidR="004772E8" w:rsidRPr="008F54CF" w:rsidRDefault="004772E8" w:rsidP="007F61C7">
      <w:pPr>
        <w:jc w:val="both"/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Противоинфекционные</w:t>
      </w:r>
      <w:proofErr w:type="spellEnd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 препараты для системного</w:t>
      </w:r>
      <w:r w:rsidR="00076F84" w:rsidRPr="00076F84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использования. </w:t>
      </w:r>
      <w:proofErr w:type="spellStart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Антимикобактериальные</w:t>
      </w:r>
      <w:proofErr w:type="spellEnd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 препараты. Препараты для лечения туберкулёза. Препараты для лечения туберкулёза другие. </w:t>
      </w:r>
      <w:proofErr w:type="spellStart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.</w:t>
      </w:r>
    </w:p>
    <w:p w14:paraId="131F6122" w14:textId="27C0A09B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Код АТХ: </w:t>
      </w:r>
      <w:r w:rsidRPr="008F54CF">
        <w:rPr>
          <w:rStyle w:val="ad"/>
          <w:b w:val="0"/>
          <w:bCs w:val="0"/>
          <w:color w:val="000000" w:themeColor="text1"/>
          <w:sz w:val="24"/>
          <w:szCs w:val="24"/>
        </w:rPr>
        <w:t>J</w:t>
      </w:r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04</w:t>
      </w:r>
      <w:r w:rsidRPr="008F54CF">
        <w:rPr>
          <w:rStyle w:val="ad"/>
          <w:b w:val="0"/>
          <w:bCs w:val="0"/>
          <w:color w:val="000000" w:themeColor="text1"/>
          <w:sz w:val="24"/>
          <w:szCs w:val="24"/>
        </w:rPr>
        <w:t>AK</w:t>
      </w:r>
      <w:r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05.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5556E3FA" w14:textId="77777777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36A55F0E" w14:textId="77777777" w:rsidR="00E4555D" w:rsidRPr="008F54CF" w:rsidRDefault="00E4555D" w:rsidP="007F61C7">
      <w:pPr>
        <w:keepNext/>
        <w:shd w:val="clear" w:color="auto" w:fill="FFFFFF" w:themeFill="background1"/>
        <w:jc w:val="both"/>
        <w:outlineLvl w:val="0"/>
        <w:rPr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 w:eastAsia="ru-RU"/>
        </w:rPr>
        <w:t>Показания к применению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75D33B7F" w14:textId="77777777" w:rsidR="00D61B12" w:rsidRPr="008F54CF" w:rsidRDefault="00D61B12" w:rsidP="007F61C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Препарат </w:t>
      </w:r>
      <w:r w:rsidRPr="008F54CF">
        <w:rPr>
          <w:b/>
          <w:color w:val="000000" w:themeColor="text1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показан к применению в составе соответствующей комбинированной схемы лечения у взрослых и педиатрических пациентов (в возрасте от 2 лет до менее чем 18 лет и с массой тела не менее 7 кг) с туберкулёзом лёгких, вызванным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, устойчивой как минимум к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>.</w:t>
      </w:r>
    </w:p>
    <w:p w14:paraId="439E5B04" w14:textId="77777777" w:rsidR="00D61B12" w:rsidRPr="008F54CF" w:rsidRDefault="00D61B12" w:rsidP="007F61C7">
      <w:pPr>
        <w:widowControl/>
        <w:autoSpaceDE/>
        <w:autoSpaceDN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При применении препарата следует учитывать официальные рекомендации по рациональному использованию антибактериальных средств. </w:t>
      </w:r>
    </w:p>
    <w:p w14:paraId="5AB2A40D" w14:textId="77777777" w:rsidR="00D61B12" w:rsidRPr="008F54CF" w:rsidRDefault="00D61B12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</w:p>
    <w:p w14:paraId="5F640A65" w14:textId="56F39BF3" w:rsidR="00E4555D" w:rsidRPr="008F54CF" w:rsidRDefault="00E4555D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Перечень сведений, необходимых до начала применения</w:t>
      </w:r>
    </w:p>
    <w:p w14:paraId="37E603E4" w14:textId="4DCF507A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Противопоказания</w:t>
      </w:r>
      <w:r w:rsidRPr="008F54CF">
        <w:rPr>
          <w:color w:val="000000" w:themeColor="text1"/>
          <w:sz w:val="24"/>
          <w:szCs w:val="24"/>
          <w:lang w:val="ru-RU"/>
        </w:rPr>
        <w:br/>
        <w:t>Гиперчувствительность к действующему веществу или к любому из вспомогательных веществ, указанных в разделе 6.1.</w:t>
      </w:r>
    </w:p>
    <w:p w14:paraId="0E302423" w14:textId="77777777" w:rsidR="00E4555D" w:rsidRPr="008F54CF" w:rsidRDefault="00E4555D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52D67B45" w14:textId="77777777" w:rsidR="004772E8" w:rsidRPr="008F54CF" w:rsidRDefault="004772E8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Необходимые меры предосторожности при применении</w:t>
      </w:r>
    </w:p>
    <w:p w14:paraId="26B142C8" w14:textId="41B83503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Отсутствуют клинические данные о применении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для лечения следующих состояний:</w:t>
      </w:r>
    </w:p>
    <w:p w14:paraId="795BC4D9" w14:textId="0CDC91F2" w:rsidR="00E4555D" w:rsidRPr="007F61C7" w:rsidRDefault="00E4555D" w:rsidP="007F61C7">
      <w:pPr>
        <w:pStyle w:val="a7"/>
        <w:numPr>
          <w:ilvl w:val="0"/>
          <w:numId w:val="25"/>
        </w:num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7F61C7">
        <w:rPr>
          <w:color w:val="000000" w:themeColor="text1"/>
          <w:sz w:val="24"/>
          <w:szCs w:val="24"/>
          <w:lang w:val="ru-RU"/>
        </w:rPr>
        <w:t>вне</w:t>
      </w:r>
      <w:proofErr w:type="gramEnd"/>
      <w:r w:rsidRPr="007F61C7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7F61C7">
        <w:rPr>
          <w:color w:val="000000" w:themeColor="text1"/>
          <w:sz w:val="24"/>
          <w:szCs w:val="24"/>
          <w:lang w:val="ru-RU"/>
        </w:rPr>
        <w:t>лёгочная</w:t>
      </w:r>
      <w:proofErr w:type="gramEnd"/>
      <w:r w:rsidRPr="007F61C7">
        <w:rPr>
          <w:color w:val="000000" w:themeColor="text1"/>
          <w:sz w:val="24"/>
          <w:szCs w:val="24"/>
          <w:lang w:val="ru-RU"/>
        </w:rPr>
        <w:t xml:space="preserve"> форма туберкулёза (например, </w:t>
      </w:r>
      <w:proofErr w:type="spellStart"/>
      <w:r w:rsidRPr="007F61C7">
        <w:rPr>
          <w:color w:val="000000" w:themeColor="text1"/>
          <w:sz w:val="24"/>
          <w:szCs w:val="24"/>
          <w:lang w:val="ru-RU"/>
        </w:rPr>
        <w:t>поражениецентральной</w:t>
      </w:r>
      <w:proofErr w:type="spellEnd"/>
      <w:r w:rsidRPr="007F61C7">
        <w:rPr>
          <w:color w:val="000000" w:themeColor="text1"/>
          <w:sz w:val="24"/>
          <w:szCs w:val="24"/>
          <w:lang w:val="ru-RU"/>
        </w:rPr>
        <w:t xml:space="preserve"> нервной системы, костей)</w:t>
      </w:r>
    </w:p>
    <w:p w14:paraId="509BC300" w14:textId="7E0A4D44" w:rsidR="00E4555D" w:rsidRPr="007F61C7" w:rsidRDefault="00E4555D" w:rsidP="007F61C7">
      <w:pPr>
        <w:pStyle w:val="a7"/>
        <w:numPr>
          <w:ilvl w:val="0"/>
          <w:numId w:val="25"/>
        </w:numPr>
        <w:jc w:val="both"/>
        <w:rPr>
          <w:color w:val="000000" w:themeColor="text1"/>
          <w:sz w:val="24"/>
          <w:szCs w:val="24"/>
          <w:lang w:val="ru-RU"/>
        </w:rPr>
      </w:pPr>
      <w:r w:rsidRPr="007F61C7">
        <w:rPr>
          <w:color w:val="000000" w:themeColor="text1"/>
          <w:sz w:val="24"/>
          <w:szCs w:val="24"/>
          <w:lang w:val="ru-RU"/>
        </w:rPr>
        <w:t xml:space="preserve">инфекции, вызванные микобактериями, отличными от </w:t>
      </w:r>
      <w:r w:rsidRPr="007F61C7">
        <w:rPr>
          <w:i/>
          <w:iCs/>
          <w:color w:val="000000" w:themeColor="text1"/>
          <w:sz w:val="24"/>
          <w:szCs w:val="24"/>
        </w:rPr>
        <w:t>Mycobacterium</w:t>
      </w:r>
      <w:r w:rsidRPr="007F61C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7F61C7">
        <w:rPr>
          <w:i/>
          <w:iCs/>
          <w:color w:val="000000" w:themeColor="text1"/>
          <w:sz w:val="24"/>
          <w:szCs w:val="24"/>
        </w:rPr>
        <w:t>tuberculosis</w:t>
      </w:r>
      <w:r w:rsidRPr="007F61C7">
        <w:rPr>
          <w:color w:val="000000" w:themeColor="text1"/>
          <w:sz w:val="24"/>
          <w:szCs w:val="24"/>
          <w:lang w:val="ru-RU"/>
        </w:rPr>
        <w:t>;</w:t>
      </w:r>
    </w:p>
    <w:p w14:paraId="0294AEBF" w14:textId="4C5ED47B" w:rsidR="00E4555D" w:rsidRPr="007F61C7" w:rsidRDefault="00E4555D" w:rsidP="007F61C7">
      <w:pPr>
        <w:pStyle w:val="a7"/>
        <w:numPr>
          <w:ilvl w:val="0"/>
          <w:numId w:val="25"/>
        </w:numPr>
        <w:jc w:val="both"/>
        <w:rPr>
          <w:color w:val="000000" w:themeColor="text1"/>
          <w:sz w:val="24"/>
          <w:szCs w:val="24"/>
          <w:lang w:val="ru-RU"/>
        </w:rPr>
      </w:pPr>
      <w:r w:rsidRPr="007F61C7">
        <w:rPr>
          <w:color w:val="000000" w:themeColor="text1"/>
          <w:sz w:val="24"/>
          <w:szCs w:val="24"/>
          <w:lang w:val="ru-RU"/>
        </w:rPr>
        <w:lastRenderedPageBreak/>
        <w:t xml:space="preserve">латентная инфекция </w:t>
      </w:r>
      <w:r w:rsidRPr="007F61C7">
        <w:rPr>
          <w:i/>
          <w:iCs/>
          <w:color w:val="000000" w:themeColor="text1"/>
          <w:sz w:val="24"/>
          <w:szCs w:val="24"/>
        </w:rPr>
        <w:t>Mycobacterium</w:t>
      </w:r>
      <w:r w:rsidRPr="007F61C7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7F61C7">
        <w:rPr>
          <w:i/>
          <w:iCs/>
          <w:color w:val="000000" w:themeColor="text1"/>
          <w:sz w:val="24"/>
          <w:szCs w:val="24"/>
        </w:rPr>
        <w:t>tuberculosis</w:t>
      </w:r>
      <w:r w:rsidRPr="007F61C7">
        <w:rPr>
          <w:color w:val="000000" w:themeColor="text1"/>
          <w:sz w:val="24"/>
          <w:szCs w:val="24"/>
          <w:lang w:val="ru-RU"/>
        </w:rPr>
        <w:t>.</w:t>
      </w:r>
    </w:p>
    <w:p w14:paraId="1D007D67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Чтобы предотвратить развитие устойчивости,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следует применять только в составе комбинированного режима лечения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мультирезистентного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туберкулёза, в соответствии с рекомендациями авторитетных руководств, например ВОЗ.</w:t>
      </w:r>
    </w:p>
    <w:p w14:paraId="36D78BBF" w14:textId="77777777" w:rsidR="00E4555D" w:rsidRPr="008F54CF" w:rsidRDefault="00E4555D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43F6F6EC" w14:textId="77777777" w:rsidR="007F61C7" w:rsidRDefault="00E4555D" w:rsidP="007F61C7">
      <w:pPr>
        <w:jc w:val="both"/>
        <w:rPr>
          <w:b/>
          <w:bCs/>
          <w:color w:val="000000" w:themeColor="text1"/>
          <w:sz w:val="24"/>
          <w:szCs w:val="24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Повышенная смертность</w:t>
      </w:r>
    </w:p>
    <w:p w14:paraId="0618F921" w14:textId="746B9F29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В 120-недельном 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у взрослых, в котором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применяли в течение 24 недель в сочетании с фоновым режимом лечения, количество случаев смерти было выше в группе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, чем в группе плацебо. Причина данного дисбаланса остаётся неясной; не выявлено доказательств причинно-следственной связи со средством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(см. раздел 5.1 для получения дополнительной информации).</w:t>
      </w:r>
    </w:p>
    <w:p w14:paraId="071A1932" w14:textId="77777777" w:rsidR="00E4555D" w:rsidRPr="008F54CF" w:rsidRDefault="00E4555D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5FC5E985" w14:textId="77777777" w:rsidR="007F61C7" w:rsidRDefault="00E4555D" w:rsidP="007F61C7">
      <w:pPr>
        <w:jc w:val="both"/>
        <w:rPr>
          <w:b/>
          <w:bCs/>
          <w:color w:val="000000" w:themeColor="text1"/>
          <w:sz w:val="24"/>
          <w:szCs w:val="24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 xml:space="preserve">Удлинение интервала </w:t>
      </w:r>
      <w:r w:rsidRPr="008F54CF">
        <w:rPr>
          <w:b/>
          <w:bCs/>
          <w:color w:val="000000" w:themeColor="text1"/>
          <w:sz w:val="24"/>
          <w:szCs w:val="24"/>
        </w:rPr>
        <w:t>QT</w:t>
      </w:r>
    </w:p>
    <w:p w14:paraId="0F453B1B" w14:textId="7B73196C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вызывает удлинение интервала </w:t>
      </w:r>
      <w:proofErr w:type="spellStart"/>
      <w:r w:rsidRPr="008F54CF">
        <w:rPr>
          <w:color w:val="000000" w:themeColor="text1"/>
          <w:sz w:val="24"/>
          <w:szCs w:val="24"/>
        </w:rPr>
        <w:t>QTc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. Перед началом лечения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необходимо снять электрокардиограмму (ЭКГ), а затем в период терапии проводить её не реже одного раза в месяц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 xml:space="preserve"> .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До начала лечения необходимо   также определить уровни калия, кальция и магния в сыворотке крови,  и если они  имеют отклонения от нормы   следует их скорректировать  . Эти электролиты также следует контролировать в случае удлинения интервала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 xml:space="preserve"> (см. разделы 4.5 и 4.8).</w:t>
      </w:r>
    </w:p>
    <w:p w14:paraId="6DF9272A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Совместное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другими лекарственными средствами, удлиняющими интервал </w:t>
      </w:r>
      <w:proofErr w:type="spellStart"/>
      <w:r w:rsidRPr="008F54CF">
        <w:rPr>
          <w:color w:val="000000" w:themeColor="text1"/>
          <w:sz w:val="24"/>
          <w:szCs w:val="24"/>
        </w:rPr>
        <w:t>QTc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(включая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деламанид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левофлоксацин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), может привести к ещё большему его удлинению (см. раздел 4.5). Рекомендуется соблюдать осторожность при назначении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совместно с препаратами, способными вызывать удлинение интервала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>.</w:t>
      </w:r>
    </w:p>
    <w:p w14:paraId="0A60647B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Если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необходимо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назначать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одновременно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с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,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рекомендуется</w:t>
      </w:r>
      <w:r w:rsidRPr="008F54CF">
        <w:rPr>
          <w:color w:val="000000" w:themeColor="text1"/>
          <w:sz w:val="24"/>
          <w:szCs w:val="24"/>
          <w:lang w:val="ru-RU"/>
        </w:rPr>
        <w:t xml:space="preserve">  проводить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клинический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мониторинг,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включая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регулярное снятие ЭКГ (см.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раздел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rStyle w:val="anegp0gi0b9av8jahpyh"/>
          <w:color w:val="000000" w:themeColor="text1"/>
          <w:sz w:val="24"/>
          <w:szCs w:val="24"/>
          <w:lang w:val="ru-RU"/>
        </w:rPr>
        <w:t>4.5).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09A33FF2" w14:textId="77777777" w:rsidR="007F61C7" w:rsidRDefault="00E4555D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Лечение препаратом РЕСИЛИН не рекомендуется пациентам со следующими состояниями, если только польза от применения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не превышает потенциальный риск:</w:t>
      </w:r>
      <w:r w:rsidRPr="008F54CF">
        <w:rPr>
          <w:color w:val="000000" w:themeColor="text1"/>
          <w:sz w:val="24"/>
          <w:szCs w:val="24"/>
          <w:lang w:val="ru-RU"/>
        </w:rPr>
        <w:br/>
        <w:t>•  сердечная недостаточность;</w:t>
      </w:r>
    </w:p>
    <w:p w14:paraId="6D0A424B" w14:textId="77777777" w:rsidR="00076F84" w:rsidRDefault="00E4555D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интервал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 xml:space="preserve">, скорректированный по методу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Фридеричи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(</w:t>
      </w:r>
      <w:proofErr w:type="spellStart"/>
      <w:r w:rsidRPr="008F54CF">
        <w:rPr>
          <w:color w:val="000000" w:themeColor="text1"/>
          <w:sz w:val="24"/>
          <w:szCs w:val="24"/>
        </w:rPr>
        <w:t>QTcF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), превышает 450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00018B88" w14:textId="3D9E240B" w:rsidR="007F61C7" w:rsidRDefault="00E4555D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>(подтверждено п</w:t>
      </w:r>
      <w:r w:rsidR="007F61C7">
        <w:rPr>
          <w:color w:val="000000" w:themeColor="text1"/>
          <w:sz w:val="24"/>
          <w:szCs w:val="24"/>
          <w:lang w:val="ru-RU"/>
        </w:rPr>
        <w:t>овторной  записью ЭКГ</w:t>
      </w:r>
      <w:r w:rsidRPr="008F54CF">
        <w:rPr>
          <w:color w:val="000000" w:themeColor="text1"/>
          <w:sz w:val="24"/>
          <w:szCs w:val="24"/>
          <w:lang w:val="ru-RU"/>
        </w:rPr>
        <w:t>);</w:t>
      </w:r>
    </w:p>
    <w:p w14:paraId="459CE591" w14:textId="77777777" w:rsidR="007F61C7" w:rsidRDefault="00E4555D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наличие у пациента или членов семьи врождённого удлинения интервала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>;</w:t>
      </w:r>
    </w:p>
    <w:p w14:paraId="51DAADF7" w14:textId="77777777" w:rsidR="007F61C7" w:rsidRPr="007F61C7" w:rsidRDefault="00D61B12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•  наличие в анамнезе или  в настоящее время гипотиреоза;</w:t>
      </w:r>
    </w:p>
    <w:p w14:paraId="06344907" w14:textId="77777777" w:rsidR="007F61C7" w:rsidRPr="007F61C7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наличие в анамнезе или  в настоящее время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брадиаритмии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;</w:t>
      </w:r>
    </w:p>
    <w:p w14:paraId="6928665E" w14:textId="77777777" w:rsidR="007F61C7" w:rsidRDefault="00E4555D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наличие в анамнезе  </w:t>
      </w:r>
      <w:r w:rsidRPr="008F54CF">
        <w:rPr>
          <w:color w:val="000000" w:themeColor="text1"/>
          <w:sz w:val="24"/>
          <w:szCs w:val="24"/>
        </w:rPr>
        <w:t>torsade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</w:rPr>
        <w:t>de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</w:rPr>
        <w:t>pointes</w:t>
      </w:r>
      <w:r w:rsidRPr="008F54CF">
        <w:rPr>
          <w:color w:val="000000" w:themeColor="text1"/>
          <w:sz w:val="24"/>
          <w:szCs w:val="24"/>
          <w:lang w:val="ru-RU"/>
        </w:rPr>
        <w:t>;</w:t>
      </w:r>
    </w:p>
    <w:p w14:paraId="351A6DB6" w14:textId="77777777" w:rsidR="007F61C7" w:rsidRPr="007F61C7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одновременное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фторхинолоновых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антибиотиков, значительно </w:t>
      </w:r>
    </w:p>
    <w:p w14:paraId="6898F521" w14:textId="51EFAF84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8F54CF">
        <w:rPr>
          <w:color w:val="000000" w:themeColor="text1"/>
          <w:sz w:val="24"/>
          <w:szCs w:val="24"/>
          <w:lang w:val="ru-RU"/>
        </w:rPr>
        <w:t>удлиняющих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интервал </w:t>
      </w:r>
      <w:r w:rsidRPr="008F54CF">
        <w:rPr>
          <w:color w:val="000000" w:themeColor="text1"/>
          <w:sz w:val="24"/>
          <w:szCs w:val="24"/>
        </w:rPr>
        <w:t>QT</w:t>
      </w:r>
      <w:r w:rsidR="00D61B12"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  <w:lang w:val="ru-RU"/>
        </w:rPr>
        <w:t xml:space="preserve">(например,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гатифлоксацина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спарфлоксацина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);</w:t>
      </w:r>
      <w:r w:rsidRPr="008F54CF">
        <w:rPr>
          <w:color w:val="000000" w:themeColor="text1"/>
          <w:sz w:val="24"/>
          <w:szCs w:val="24"/>
          <w:lang w:val="ru-RU"/>
        </w:rPr>
        <w:br/>
        <w:t xml:space="preserve">• 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гипокалиемия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.</w:t>
      </w:r>
    </w:p>
    <w:p w14:paraId="435F7E24" w14:textId="77777777" w:rsidR="00D61B12" w:rsidRPr="008F54CF" w:rsidRDefault="00D61B12" w:rsidP="007F61C7">
      <w:pPr>
        <w:jc w:val="both"/>
        <w:rPr>
          <w:color w:val="000000" w:themeColor="text1"/>
          <w:shd w:val="clear" w:color="auto" w:fill="FFFFFF"/>
          <w:lang w:val="ru-RU"/>
        </w:rPr>
      </w:pPr>
    </w:p>
    <w:p w14:paraId="6ADE1559" w14:textId="6C0C7833" w:rsidR="00D61B12" w:rsidRPr="008F54CF" w:rsidRDefault="00D61B12" w:rsidP="007F61C7">
      <w:pPr>
        <w:jc w:val="both"/>
        <w:rPr>
          <w:color w:val="000000" w:themeColor="text1"/>
          <w:shd w:val="clear" w:color="auto" w:fill="FFFFFF"/>
          <w:lang w:val="ru-RU"/>
        </w:rPr>
      </w:pPr>
      <w:r w:rsidRPr="008F54CF">
        <w:rPr>
          <w:color w:val="000000" w:themeColor="text1"/>
          <w:shd w:val="clear" w:color="auto" w:fill="FFFFFF"/>
          <w:lang w:val="ru-RU"/>
        </w:rPr>
        <w:t xml:space="preserve">При одновременном применении </w:t>
      </w:r>
      <w:proofErr w:type="spellStart"/>
      <w:r w:rsidRPr="008F54CF">
        <w:rPr>
          <w:color w:val="000000" w:themeColor="text1"/>
          <w:shd w:val="clear" w:color="auto" w:fill="FFFFFF"/>
          <w:lang w:val="ru-RU"/>
        </w:rPr>
        <w:t>бедаквилина</w:t>
      </w:r>
      <w:proofErr w:type="spellEnd"/>
      <w:r w:rsidRPr="008F54CF">
        <w:rPr>
          <w:color w:val="000000" w:themeColor="text1"/>
          <w:shd w:val="clear" w:color="auto" w:fill="FFFFFF"/>
          <w:lang w:val="ru-RU"/>
        </w:rPr>
        <w:t xml:space="preserve"> с другими лекарственными средствами, удлиняющими интервал </w:t>
      </w:r>
      <w:proofErr w:type="spellStart"/>
      <w:r w:rsidRPr="008F54CF">
        <w:rPr>
          <w:color w:val="000000" w:themeColor="text1"/>
          <w:shd w:val="clear" w:color="auto" w:fill="FFFFFF"/>
        </w:rPr>
        <w:t>QTc</w:t>
      </w:r>
      <w:proofErr w:type="spellEnd"/>
      <w:r w:rsidRPr="008F54CF">
        <w:rPr>
          <w:color w:val="000000" w:themeColor="text1"/>
          <w:shd w:val="clear" w:color="auto" w:fill="FFFFFF"/>
          <w:lang w:val="ru-RU"/>
        </w:rPr>
        <w:t xml:space="preserve"> (включая </w:t>
      </w:r>
      <w:proofErr w:type="spellStart"/>
      <w:r w:rsidRPr="008F54CF">
        <w:rPr>
          <w:color w:val="000000" w:themeColor="text1"/>
          <w:shd w:val="clear" w:color="auto" w:fill="FFFFFF"/>
          <w:lang w:val="ru-RU"/>
        </w:rPr>
        <w:t>клофазимин</w:t>
      </w:r>
      <w:proofErr w:type="spellEnd"/>
      <w:r w:rsidRPr="008F54CF">
        <w:rPr>
          <w:color w:val="000000" w:themeColor="text1"/>
          <w:shd w:val="clear" w:color="auto" w:fill="FFFFFF"/>
          <w:lang w:val="ru-RU"/>
        </w:rPr>
        <w:t xml:space="preserve">, </w:t>
      </w:r>
      <w:proofErr w:type="spellStart"/>
      <w:r w:rsidRPr="008F54CF">
        <w:rPr>
          <w:color w:val="000000" w:themeColor="text1"/>
          <w:shd w:val="clear" w:color="auto" w:fill="FFFFFF"/>
          <w:lang w:val="ru-RU"/>
        </w:rPr>
        <w:t>деламанид</w:t>
      </w:r>
      <w:proofErr w:type="spellEnd"/>
      <w:r w:rsidRPr="008F54CF">
        <w:rPr>
          <w:color w:val="000000" w:themeColor="text1"/>
          <w:shd w:val="clear" w:color="auto" w:fill="FFFFFF"/>
          <w:lang w:val="ru-RU"/>
        </w:rPr>
        <w:t xml:space="preserve"> или </w:t>
      </w:r>
      <w:proofErr w:type="spellStart"/>
      <w:r w:rsidRPr="008F54CF">
        <w:rPr>
          <w:color w:val="000000" w:themeColor="text1"/>
          <w:shd w:val="clear" w:color="auto" w:fill="FFFFFF"/>
          <w:lang w:val="ru-RU"/>
        </w:rPr>
        <w:t>фторхинолоны</w:t>
      </w:r>
      <w:proofErr w:type="spellEnd"/>
      <w:r w:rsidRPr="008F54CF">
        <w:rPr>
          <w:color w:val="000000" w:themeColor="text1"/>
          <w:shd w:val="clear" w:color="auto" w:fill="FFFFFF"/>
          <w:lang w:val="ru-RU"/>
        </w:rPr>
        <w:t xml:space="preserve">), ожидается аддитивный эффект в отношении удлинения интервала </w:t>
      </w:r>
      <w:r w:rsidRPr="008F54CF">
        <w:rPr>
          <w:color w:val="000000" w:themeColor="text1"/>
          <w:shd w:val="clear" w:color="auto" w:fill="FFFFFF"/>
        </w:rPr>
        <w:t>QT</w:t>
      </w:r>
      <w:r w:rsidRPr="008F54CF">
        <w:rPr>
          <w:color w:val="000000" w:themeColor="text1"/>
          <w:shd w:val="clear" w:color="auto" w:fill="FFFFFF"/>
          <w:lang w:val="ru-RU"/>
        </w:rPr>
        <w:t>.</w:t>
      </w:r>
      <w:r w:rsidRPr="008F54CF">
        <w:rPr>
          <w:color w:val="000000" w:themeColor="text1"/>
          <w:shd w:val="clear" w:color="auto" w:fill="FFFFFF"/>
        </w:rPr>
        <w:t> </w:t>
      </w:r>
    </w:p>
    <w:p w14:paraId="64E5E1F2" w14:textId="77777777" w:rsidR="00D61B12" w:rsidRPr="008F54CF" w:rsidRDefault="00D61B12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lang w:val="ru-RU"/>
        </w:rPr>
        <w:t>Лечение препаратом РЕСИЛИН может быть рассмотрено после благоприятной оценки соотношения пользы и риска и при наличии ЭКГ-мониторинга.</w:t>
      </w:r>
    </w:p>
    <w:p w14:paraId="408A023F" w14:textId="77777777" w:rsidR="00D61B12" w:rsidRPr="008F54CF" w:rsidRDefault="00D61B12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2A147A79" w14:textId="77777777" w:rsidR="00076F84" w:rsidRPr="00076F84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Препарат </w:t>
      </w:r>
      <w:r w:rsidR="00D61B12" w:rsidRPr="008F54CF">
        <w:rPr>
          <w:color w:val="000000" w:themeColor="text1"/>
          <w:lang w:val="ru-RU"/>
        </w:rPr>
        <w:t>РЕСИЛИН</w:t>
      </w:r>
      <w:r w:rsidR="00D61B12"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  <w:lang w:val="ru-RU"/>
        </w:rPr>
        <w:t xml:space="preserve">следует отменить, </w:t>
      </w:r>
      <w:r w:rsidR="00076F84">
        <w:rPr>
          <w:color w:val="000000" w:themeColor="text1"/>
          <w:sz w:val="24"/>
          <w:szCs w:val="24"/>
          <w:lang w:val="ru-RU"/>
        </w:rPr>
        <w:t>если у пациента развиваются:</w:t>
      </w:r>
      <w:r w:rsidR="00076F84">
        <w:rPr>
          <w:color w:val="000000" w:themeColor="text1"/>
          <w:sz w:val="24"/>
          <w:szCs w:val="24"/>
          <w:lang w:val="ru-RU"/>
        </w:rPr>
        <w:br/>
        <w:t>•</w:t>
      </w:r>
      <w:r w:rsidR="00076F84" w:rsidRPr="00076F84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  <w:lang w:val="ru-RU"/>
        </w:rPr>
        <w:t>клинически значимая желудочковая аритмия;</w:t>
      </w:r>
      <w:r w:rsidR="00076F84" w:rsidRPr="00076F84">
        <w:rPr>
          <w:color w:val="000000" w:themeColor="text1"/>
          <w:sz w:val="24"/>
          <w:szCs w:val="24"/>
          <w:lang w:val="ru-RU"/>
        </w:rPr>
        <w:t xml:space="preserve"> </w:t>
      </w:r>
    </w:p>
    <w:p w14:paraId="4F00E6AE" w14:textId="3B532E1D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•  интервал </w:t>
      </w:r>
      <w:proofErr w:type="spellStart"/>
      <w:r w:rsidRPr="008F54CF">
        <w:rPr>
          <w:color w:val="000000" w:themeColor="text1"/>
          <w:sz w:val="24"/>
          <w:szCs w:val="24"/>
        </w:rPr>
        <w:t>QTcF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, превышающий 500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(подтверждено повторной ЭКГ).</w:t>
      </w:r>
    </w:p>
    <w:p w14:paraId="709E7188" w14:textId="5D990A65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При развитии обморока следует сделать </w:t>
      </w:r>
      <w:r w:rsidR="00D61B12" w:rsidRPr="008F54CF">
        <w:rPr>
          <w:color w:val="000000" w:themeColor="text1"/>
          <w:sz w:val="24"/>
          <w:szCs w:val="24"/>
          <w:lang w:val="ru-RU"/>
        </w:rPr>
        <w:t>провести</w:t>
      </w:r>
      <w:r w:rsidRPr="008F54CF">
        <w:rPr>
          <w:color w:val="000000" w:themeColor="text1"/>
          <w:sz w:val="24"/>
          <w:szCs w:val="24"/>
          <w:lang w:val="ru-RU"/>
        </w:rPr>
        <w:t xml:space="preserve"> ЭКГ  для выявления возможного </w:t>
      </w:r>
      <w:r w:rsidRPr="008F54CF">
        <w:rPr>
          <w:color w:val="000000" w:themeColor="text1"/>
          <w:sz w:val="24"/>
          <w:szCs w:val="24"/>
          <w:lang w:val="ru-RU"/>
        </w:rPr>
        <w:lastRenderedPageBreak/>
        <w:t xml:space="preserve">удлинения интервала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>.</w:t>
      </w:r>
      <w:r w:rsidR="00D61B12"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097663D3" w14:textId="77777777" w:rsidR="00E4555D" w:rsidRPr="008F54CF" w:rsidRDefault="00E4555D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1DE03B0B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b/>
          <w:bCs/>
          <w:color w:val="000000" w:themeColor="text1"/>
          <w:sz w:val="24"/>
          <w:szCs w:val="24"/>
          <w:lang w:val="ru-RU"/>
        </w:rPr>
        <w:t>Гепатотоксичность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/>
        </w:rPr>
        <w:br/>
      </w:r>
      <w:r w:rsidRPr="008F54CF">
        <w:rPr>
          <w:color w:val="000000" w:themeColor="text1"/>
          <w:sz w:val="24"/>
          <w:szCs w:val="24"/>
          <w:lang w:val="ru-RU"/>
        </w:rPr>
        <w:t xml:space="preserve">В клинических исследованиях, где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применяли в сочетании с фоновым режимом лечения, повышение уровня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аминотрансфераз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сопровождалось увеличением общего билирубина как минимум в 2 раза выше верхней границы нормы (см. раздел 4.8).</w:t>
      </w:r>
    </w:p>
    <w:p w14:paraId="3E45E0F9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Функцию печени необходимо контролировать на протяжении всего периода лечения, поскольку наблюдалось постепенное повышение уровня печёночных ферментов   в течение 24 недельного курса  терапии. Симптомы и лабораторные показатели (АЛТ, АСТ, щелочная фосфатаза и билирубин) следует контролировать в начале лечения, ежемесячно в процессе терапии и при необходимости.</w:t>
      </w:r>
    </w:p>
    <w:p w14:paraId="19D49158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Если уровень АСТ или АЛТ превышает пятикратное значение верхней границы нормы, следует пересмотреть режим лечения и прекратить применение препарата [торговое наименование </w:t>
      </w:r>
      <w:r w:rsidRPr="008F54CF">
        <w:rPr>
          <w:color w:val="000000" w:themeColor="text1"/>
          <w:sz w:val="24"/>
          <w:szCs w:val="24"/>
        </w:rPr>
        <w:t>TB</w:t>
      </w:r>
      <w:r w:rsidRPr="008F54CF">
        <w:rPr>
          <w:color w:val="000000" w:themeColor="text1"/>
          <w:sz w:val="24"/>
          <w:szCs w:val="24"/>
          <w:lang w:val="ru-RU"/>
        </w:rPr>
        <w:t xml:space="preserve">395] и/или любого другого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гепатотоксичного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препарата фонового режима.</w:t>
      </w:r>
    </w:p>
    <w:p w14:paraId="0AD88B21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Следует избегать одновременного применения других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гепатотоксичных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средств и употребления алкоголя во время лечения препаратом РЕСИЛИН, особенно у пациентов со сниженным печёночным резервом.</w:t>
      </w:r>
    </w:p>
    <w:p w14:paraId="305E2045" w14:textId="77777777" w:rsidR="00E4555D" w:rsidRPr="008F54CF" w:rsidRDefault="00E4555D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78694248" w14:textId="77777777" w:rsidR="00D61B12" w:rsidRPr="008F54CF" w:rsidRDefault="00D61B12" w:rsidP="007F61C7">
      <w:pPr>
        <w:jc w:val="both"/>
        <w:rPr>
          <w:b/>
          <w:bCs/>
          <w:color w:val="000000" w:themeColor="text1"/>
          <w:lang w:val="ru-RU"/>
        </w:rPr>
      </w:pPr>
      <w:r w:rsidRPr="008F54CF">
        <w:rPr>
          <w:b/>
          <w:bCs/>
          <w:color w:val="000000" w:themeColor="text1"/>
          <w:lang w:val="ru-RU"/>
        </w:rPr>
        <w:t>Дети</w:t>
      </w:r>
    </w:p>
    <w:p w14:paraId="7920AEED" w14:textId="77777777" w:rsidR="00D61B12" w:rsidRPr="008F54CF" w:rsidRDefault="00D61B12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lang w:val="ru-RU"/>
        </w:rPr>
        <w:t xml:space="preserve">У подростков с массой тела от 30 до 40 кг ожидается более высокая средняя экспозиция  (т.е. воздействие препарата) по сравнению </w:t>
      </w:r>
      <w:proofErr w:type="gramStart"/>
      <w:r w:rsidRPr="008F54CF">
        <w:rPr>
          <w:color w:val="000000" w:themeColor="text1"/>
          <w:lang w:val="ru-RU"/>
        </w:rPr>
        <w:t>со</w:t>
      </w:r>
      <w:proofErr w:type="gramEnd"/>
      <w:r w:rsidRPr="008F54CF">
        <w:rPr>
          <w:color w:val="000000" w:themeColor="text1"/>
          <w:lang w:val="ru-RU"/>
        </w:rPr>
        <w:t xml:space="preserve"> взрослыми (см. раздел 5.2), что может повысить риск удлинения интервала </w:t>
      </w:r>
      <w:r w:rsidRPr="008F54CF">
        <w:rPr>
          <w:color w:val="000000" w:themeColor="text1"/>
        </w:rPr>
        <w:t>QT</w:t>
      </w:r>
      <w:r w:rsidRPr="008F54CF">
        <w:rPr>
          <w:color w:val="000000" w:themeColor="text1"/>
          <w:lang w:val="ru-RU"/>
        </w:rPr>
        <w:t xml:space="preserve"> или развития </w:t>
      </w:r>
      <w:proofErr w:type="spellStart"/>
      <w:r w:rsidRPr="008F54CF">
        <w:rPr>
          <w:color w:val="000000" w:themeColor="text1"/>
          <w:lang w:val="ru-RU"/>
        </w:rPr>
        <w:t>гепатотоксичности</w:t>
      </w:r>
      <w:proofErr w:type="spellEnd"/>
      <w:r w:rsidRPr="008F54CF">
        <w:rPr>
          <w:color w:val="000000" w:themeColor="text1"/>
          <w:lang w:val="ru-RU"/>
        </w:rPr>
        <w:t>.</w:t>
      </w:r>
    </w:p>
    <w:p w14:paraId="75E3B427" w14:textId="77777777" w:rsidR="00D61B12" w:rsidRPr="008F54CF" w:rsidRDefault="00D61B12" w:rsidP="007F61C7">
      <w:pPr>
        <w:jc w:val="both"/>
        <w:rPr>
          <w:i/>
          <w:iCs/>
          <w:color w:val="000000" w:themeColor="text1"/>
          <w:lang w:val="ru-RU"/>
        </w:rPr>
      </w:pPr>
    </w:p>
    <w:p w14:paraId="3B833853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rStyle w:val="ad"/>
          <w:color w:val="000000" w:themeColor="text1"/>
          <w:sz w:val="22"/>
          <w:szCs w:val="22"/>
          <w:lang w:val="ru-RU"/>
        </w:rPr>
        <w:t>Взаимодействие с другими лекарственными средствами</w:t>
      </w:r>
    </w:p>
    <w:p w14:paraId="3414A13E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rStyle w:val="ae"/>
          <w:color w:val="000000" w:themeColor="text1"/>
          <w:sz w:val="22"/>
          <w:szCs w:val="22"/>
          <w:lang w:val="ru-RU"/>
        </w:rPr>
        <w:t xml:space="preserve">Индукторы </w:t>
      </w:r>
      <w:r w:rsidRPr="008F54CF">
        <w:rPr>
          <w:rStyle w:val="ae"/>
          <w:color w:val="000000" w:themeColor="text1"/>
          <w:sz w:val="22"/>
          <w:szCs w:val="22"/>
        </w:rPr>
        <w:t>CYP</w:t>
      </w:r>
      <w:r w:rsidRPr="008F54CF">
        <w:rPr>
          <w:rStyle w:val="ae"/>
          <w:color w:val="000000" w:themeColor="text1"/>
          <w:sz w:val="22"/>
          <w:szCs w:val="22"/>
          <w:lang w:val="ru-RU"/>
        </w:rPr>
        <w:t>3</w:t>
      </w:r>
      <w:r w:rsidRPr="008F54CF">
        <w:rPr>
          <w:rStyle w:val="ae"/>
          <w:color w:val="000000" w:themeColor="text1"/>
          <w:sz w:val="22"/>
          <w:szCs w:val="22"/>
        </w:rPr>
        <w:t>A</w:t>
      </w:r>
      <w:r w:rsidRPr="008F54CF">
        <w:rPr>
          <w:rStyle w:val="ae"/>
          <w:color w:val="000000" w:themeColor="text1"/>
          <w:sz w:val="22"/>
          <w:szCs w:val="22"/>
          <w:lang w:val="ru-RU"/>
        </w:rPr>
        <w:t>4</w:t>
      </w:r>
    </w:p>
    <w:p w14:paraId="167AA03E" w14:textId="77777777" w:rsidR="00D61B12" w:rsidRPr="00076F84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proofErr w:type="spellStart"/>
      <w:r w:rsidRPr="00076F84">
        <w:rPr>
          <w:color w:val="000000" w:themeColor="text1"/>
          <w:lang w:val="ru-RU"/>
        </w:rPr>
        <w:t>Бедаквилин</w:t>
      </w:r>
      <w:proofErr w:type="spellEnd"/>
      <w:r w:rsidRPr="00076F84">
        <w:rPr>
          <w:color w:val="000000" w:themeColor="text1"/>
          <w:lang w:val="ru-RU"/>
        </w:rPr>
        <w:t xml:space="preserve"> </w:t>
      </w:r>
      <w:proofErr w:type="spellStart"/>
      <w:r w:rsidRPr="00076F84">
        <w:rPr>
          <w:color w:val="000000" w:themeColor="text1"/>
          <w:lang w:val="ru-RU"/>
        </w:rPr>
        <w:t>метаболизируется</w:t>
      </w:r>
      <w:proofErr w:type="spellEnd"/>
      <w:r w:rsidRPr="00076F84">
        <w:rPr>
          <w:color w:val="000000" w:themeColor="text1"/>
          <w:lang w:val="ru-RU"/>
        </w:rPr>
        <w:t xml:space="preserve"> ферментом </w:t>
      </w:r>
      <w:r w:rsidRPr="00076F84">
        <w:rPr>
          <w:color w:val="000000" w:themeColor="text1"/>
        </w:rPr>
        <w:t>CYP</w:t>
      </w:r>
      <w:r w:rsidRPr="00076F84">
        <w:rPr>
          <w:color w:val="000000" w:themeColor="text1"/>
          <w:lang w:val="ru-RU"/>
        </w:rPr>
        <w:t>3</w:t>
      </w:r>
      <w:r w:rsidRPr="00076F84">
        <w:rPr>
          <w:color w:val="000000" w:themeColor="text1"/>
        </w:rPr>
        <w:t>A</w:t>
      </w:r>
      <w:r w:rsidRPr="00076F84">
        <w:rPr>
          <w:color w:val="000000" w:themeColor="text1"/>
          <w:lang w:val="ru-RU"/>
        </w:rPr>
        <w:t xml:space="preserve">4. Совместное применение РЕСИЛИН с умеренными или сильными индукторами </w:t>
      </w:r>
      <w:r w:rsidRPr="00076F84">
        <w:rPr>
          <w:color w:val="000000" w:themeColor="text1"/>
        </w:rPr>
        <w:t>CYP</w:t>
      </w:r>
      <w:r w:rsidRPr="00076F84">
        <w:rPr>
          <w:color w:val="000000" w:themeColor="text1"/>
          <w:lang w:val="ru-RU"/>
        </w:rPr>
        <w:t>3</w:t>
      </w:r>
      <w:r w:rsidRPr="00076F84">
        <w:rPr>
          <w:color w:val="000000" w:themeColor="text1"/>
        </w:rPr>
        <w:t>A</w:t>
      </w:r>
      <w:r w:rsidRPr="00076F84">
        <w:rPr>
          <w:color w:val="000000" w:themeColor="text1"/>
          <w:lang w:val="ru-RU"/>
        </w:rPr>
        <w:t xml:space="preserve">4 снижает концентрацию </w:t>
      </w:r>
      <w:proofErr w:type="spellStart"/>
      <w:r w:rsidRPr="00076F84">
        <w:rPr>
          <w:color w:val="000000" w:themeColor="text1"/>
          <w:lang w:val="ru-RU"/>
        </w:rPr>
        <w:t>бедаквилина</w:t>
      </w:r>
      <w:proofErr w:type="spellEnd"/>
      <w:r w:rsidRPr="00076F84">
        <w:rPr>
          <w:color w:val="000000" w:themeColor="text1"/>
          <w:lang w:val="ru-RU"/>
        </w:rPr>
        <w:t xml:space="preserve"> в плазме крови и может уменьшить терапевтический эффект РЕСИЛИН. Поэтому следует избегать совместного применения РЕСИЛИН с умеренными или сильными индукторами </w:t>
      </w:r>
      <w:r w:rsidRPr="00076F84">
        <w:rPr>
          <w:color w:val="000000" w:themeColor="text1"/>
        </w:rPr>
        <w:t>CYP</w:t>
      </w:r>
      <w:r w:rsidRPr="00076F84">
        <w:rPr>
          <w:color w:val="000000" w:themeColor="text1"/>
          <w:lang w:val="ru-RU"/>
        </w:rPr>
        <w:t>3</w:t>
      </w:r>
      <w:r w:rsidRPr="00076F84">
        <w:rPr>
          <w:color w:val="000000" w:themeColor="text1"/>
        </w:rPr>
        <w:t>A</w:t>
      </w:r>
      <w:r w:rsidRPr="00076F84">
        <w:rPr>
          <w:color w:val="000000" w:themeColor="text1"/>
          <w:lang w:val="ru-RU"/>
        </w:rPr>
        <w:t xml:space="preserve">4, применяемыми системно, такими как </w:t>
      </w:r>
      <w:proofErr w:type="spellStart"/>
      <w:r w:rsidRPr="00076F84">
        <w:rPr>
          <w:color w:val="000000" w:themeColor="text1"/>
          <w:lang w:val="ru-RU"/>
        </w:rPr>
        <w:t>эфавиренз</w:t>
      </w:r>
      <w:proofErr w:type="spellEnd"/>
      <w:r w:rsidRPr="00076F84">
        <w:rPr>
          <w:color w:val="000000" w:themeColor="text1"/>
          <w:lang w:val="ru-RU"/>
        </w:rPr>
        <w:t xml:space="preserve"> и </w:t>
      </w:r>
      <w:proofErr w:type="spellStart"/>
      <w:r w:rsidRPr="00076F84">
        <w:rPr>
          <w:color w:val="000000" w:themeColor="text1"/>
          <w:lang w:val="ru-RU"/>
        </w:rPr>
        <w:t>рифамицины</w:t>
      </w:r>
      <w:proofErr w:type="spellEnd"/>
      <w:r w:rsidRPr="00076F84">
        <w:rPr>
          <w:color w:val="000000" w:themeColor="text1"/>
          <w:lang w:val="ru-RU"/>
        </w:rPr>
        <w:t xml:space="preserve"> (например, </w:t>
      </w:r>
      <w:proofErr w:type="spellStart"/>
      <w:r w:rsidRPr="00076F84">
        <w:rPr>
          <w:color w:val="000000" w:themeColor="text1"/>
          <w:lang w:val="ru-RU"/>
        </w:rPr>
        <w:t>рифампицин</w:t>
      </w:r>
      <w:proofErr w:type="spellEnd"/>
      <w:r w:rsidRPr="00076F84">
        <w:rPr>
          <w:color w:val="000000" w:themeColor="text1"/>
          <w:lang w:val="ru-RU"/>
        </w:rPr>
        <w:t xml:space="preserve">, </w:t>
      </w:r>
      <w:proofErr w:type="spellStart"/>
      <w:r w:rsidRPr="00076F84">
        <w:rPr>
          <w:color w:val="000000" w:themeColor="text1"/>
          <w:lang w:val="ru-RU"/>
        </w:rPr>
        <w:t>рифапентин</w:t>
      </w:r>
      <w:proofErr w:type="spellEnd"/>
      <w:r w:rsidRPr="00076F84">
        <w:rPr>
          <w:color w:val="000000" w:themeColor="text1"/>
          <w:lang w:val="ru-RU"/>
        </w:rPr>
        <w:t xml:space="preserve"> и </w:t>
      </w:r>
      <w:proofErr w:type="spellStart"/>
      <w:r w:rsidRPr="00076F84">
        <w:rPr>
          <w:color w:val="000000" w:themeColor="text1"/>
          <w:lang w:val="ru-RU"/>
        </w:rPr>
        <w:t>рифабутин</w:t>
      </w:r>
      <w:proofErr w:type="spellEnd"/>
      <w:r w:rsidRPr="00076F84">
        <w:rPr>
          <w:color w:val="000000" w:themeColor="text1"/>
          <w:lang w:val="ru-RU"/>
        </w:rPr>
        <w:t xml:space="preserve">) (см. раздел 4.5). </w:t>
      </w:r>
    </w:p>
    <w:p w14:paraId="79622065" w14:textId="77777777" w:rsidR="00D61B12" w:rsidRPr="00076F84" w:rsidRDefault="00D61B12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076F84">
        <w:rPr>
          <w:i/>
          <w:iCs/>
          <w:color w:val="000000" w:themeColor="text1"/>
          <w:sz w:val="24"/>
          <w:szCs w:val="24"/>
          <w:lang w:val="ru-RU"/>
        </w:rPr>
        <w:t xml:space="preserve">Непереносимость лактозы и дефицит </w:t>
      </w:r>
      <w:proofErr w:type="spellStart"/>
      <w:r w:rsidRPr="00076F84">
        <w:rPr>
          <w:i/>
          <w:iCs/>
          <w:color w:val="000000" w:themeColor="text1"/>
          <w:sz w:val="24"/>
          <w:szCs w:val="24"/>
          <w:lang w:val="ru-RU"/>
        </w:rPr>
        <w:t>лактазы</w:t>
      </w:r>
      <w:proofErr w:type="spellEnd"/>
      <w:r w:rsidRPr="00076F84">
        <w:rPr>
          <w:color w:val="000000" w:themeColor="text1"/>
          <w:sz w:val="24"/>
          <w:szCs w:val="24"/>
          <w:lang w:val="ru-RU"/>
        </w:rPr>
        <w:br/>
        <w:t xml:space="preserve">Пациентам с врождённой </w:t>
      </w:r>
      <w:proofErr w:type="spellStart"/>
      <w:r w:rsidRPr="00076F84">
        <w:rPr>
          <w:color w:val="000000" w:themeColor="text1"/>
          <w:sz w:val="24"/>
          <w:szCs w:val="24"/>
          <w:lang w:val="ru-RU"/>
        </w:rPr>
        <w:t>лактазной</w:t>
      </w:r>
      <w:proofErr w:type="spellEnd"/>
      <w:r w:rsidRPr="00076F84">
        <w:rPr>
          <w:color w:val="000000" w:themeColor="text1"/>
          <w:sz w:val="24"/>
          <w:szCs w:val="24"/>
          <w:lang w:val="ru-RU"/>
        </w:rPr>
        <w:t xml:space="preserve"> недостаточностью, </w:t>
      </w:r>
      <w:proofErr w:type="spellStart"/>
      <w:r w:rsidRPr="00076F84">
        <w:rPr>
          <w:color w:val="000000" w:themeColor="text1"/>
          <w:sz w:val="24"/>
          <w:szCs w:val="24"/>
          <w:lang w:val="ru-RU"/>
        </w:rPr>
        <w:t>галактоземией</w:t>
      </w:r>
      <w:proofErr w:type="spellEnd"/>
      <w:r w:rsidRPr="00076F84">
        <w:rPr>
          <w:color w:val="000000" w:themeColor="text1"/>
          <w:sz w:val="24"/>
          <w:szCs w:val="24"/>
          <w:lang w:val="ru-RU"/>
        </w:rPr>
        <w:t xml:space="preserve"> или нарушением всасывания глюкозы и галактозы не следует назначать данный препарат. </w:t>
      </w:r>
    </w:p>
    <w:p w14:paraId="4481B389" w14:textId="77777777" w:rsidR="00D61B12" w:rsidRPr="00076F84" w:rsidRDefault="00D61B12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076F84">
        <w:rPr>
          <w:color w:val="000000" w:themeColor="text1"/>
          <w:sz w:val="24"/>
          <w:szCs w:val="24"/>
          <w:lang w:val="ru-RU"/>
        </w:rPr>
        <w:t>Пациентам с аллергией на белки коровьего молока не следует назначать данный препарат, если только это не является строго необходимым.</w:t>
      </w:r>
      <w:r w:rsidRPr="00076F84">
        <w:rPr>
          <w:color w:val="000000" w:themeColor="text1"/>
          <w:sz w:val="24"/>
          <w:szCs w:val="24"/>
          <w:lang w:val="ru-RU"/>
        </w:rPr>
        <w:br/>
        <w:t>Важно учитывать совокупное влияние вспомогательных веще</w:t>
      </w:r>
      <w:proofErr w:type="gramStart"/>
      <w:r w:rsidRPr="00076F84">
        <w:rPr>
          <w:color w:val="000000" w:themeColor="text1"/>
          <w:sz w:val="24"/>
          <w:szCs w:val="24"/>
          <w:lang w:val="ru-RU"/>
        </w:rPr>
        <w:t>ств вс</w:t>
      </w:r>
      <w:proofErr w:type="gramEnd"/>
      <w:r w:rsidRPr="00076F84">
        <w:rPr>
          <w:color w:val="000000" w:themeColor="text1"/>
          <w:sz w:val="24"/>
          <w:szCs w:val="24"/>
          <w:lang w:val="ru-RU"/>
        </w:rPr>
        <w:t>ех лекарственных препаратов, которые принимает пациент.</w:t>
      </w:r>
    </w:p>
    <w:p w14:paraId="390CDF6E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43ACBE47" w14:textId="77777777" w:rsidR="004772E8" w:rsidRPr="008F54CF" w:rsidRDefault="004772E8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Взаимодействия с другими лекарственными препаратами</w:t>
      </w:r>
    </w:p>
    <w:p w14:paraId="3BEE3F5E" w14:textId="33BBB8C9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Элиминация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полностью не охарактеризована </w:t>
      </w:r>
      <w:r w:rsidRPr="008F54CF">
        <w:rPr>
          <w:i/>
          <w:iCs/>
          <w:color w:val="000000" w:themeColor="text1"/>
          <w:sz w:val="24"/>
          <w:szCs w:val="24"/>
        </w:rPr>
        <w:t>in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i/>
          <w:iCs/>
          <w:color w:val="000000" w:themeColor="text1"/>
          <w:sz w:val="24"/>
          <w:szCs w:val="24"/>
        </w:rPr>
        <w:t>vivo</w:t>
      </w:r>
      <w:r w:rsidRPr="008F54CF">
        <w:rPr>
          <w:color w:val="000000" w:themeColor="text1"/>
          <w:sz w:val="24"/>
          <w:szCs w:val="24"/>
          <w:lang w:val="ru-RU"/>
        </w:rPr>
        <w:t>.</w:t>
      </w:r>
      <w:r w:rsidRPr="008F54CF">
        <w:rPr>
          <w:color w:val="000000" w:themeColor="text1"/>
          <w:sz w:val="24"/>
          <w:szCs w:val="24"/>
          <w:lang w:val="ru-RU"/>
        </w:rPr>
        <w:br/>
        <w:t xml:space="preserve">Изофермент </w:t>
      </w:r>
      <w:r w:rsidRPr="008F54CF">
        <w:rPr>
          <w:color w:val="000000" w:themeColor="text1"/>
          <w:sz w:val="24"/>
          <w:szCs w:val="24"/>
        </w:rPr>
        <w:t>CYP</w:t>
      </w:r>
      <w:r w:rsidRPr="008F54CF">
        <w:rPr>
          <w:color w:val="000000" w:themeColor="text1"/>
          <w:sz w:val="24"/>
          <w:szCs w:val="24"/>
          <w:lang w:val="ru-RU"/>
        </w:rPr>
        <w:t>3</w:t>
      </w:r>
      <w:r w:rsidRPr="008F54CF">
        <w:rPr>
          <w:color w:val="000000" w:themeColor="text1"/>
          <w:sz w:val="24"/>
          <w:szCs w:val="24"/>
        </w:rPr>
        <w:t>A</w:t>
      </w:r>
      <w:r w:rsidRPr="008F54CF">
        <w:rPr>
          <w:color w:val="000000" w:themeColor="text1"/>
          <w:sz w:val="24"/>
          <w:szCs w:val="24"/>
          <w:lang w:val="ru-RU"/>
        </w:rPr>
        <w:t xml:space="preserve">4 является основным ферментом, участвующим </w:t>
      </w:r>
      <w:r w:rsidRPr="008F54CF">
        <w:rPr>
          <w:i/>
          <w:iCs/>
          <w:color w:val="000000" w:themeColor="text1"/>
          <w:sz w:val="24"/>
          <w:szCs w:val="24"/>
        </w:rPr>
        <w:t>in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i/>
          <w:iCs/>
          <w:color w:val="000000" w:themeColor="text1"/>
          <w:sz w:val="24"/>
          <w:szCs w:val="24"/>
        </w:rPr>
        <w:t>vitro</w:t>
      </w:r>
      <w:r w:rsidRPr="008F54CF">
        <w:rPr>
          <w:color w:val="000000" w:themeColor="text1"/>
          <w:sz w:val="24"/>
          <w:szCs w:val="24"/>
          <w:lang w:val="ru-RU"/>
        </w:rPr>
        <w:t xml:space="preserve"> в метаболизме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образовании </w:t>
      </w:r>
      <w:r w:rsidRPr="008F54CF">
        <w:rPr>
          <w:color w:val="000000" w:themeColor="text1"/>
          <w:sz w:val="24"/>
          <w:szCs w:val="24"/>
        </w:rPr>
        <w:t>N</w:t>
      </w:r>
      <w:r w:rsidRPr="008F54CF">
        <w:rPr>
          <w:color w:val="000000" w:themeColor="text1"/>
          <w:sz w:val="24"/>
          <w:szCs w:val="24"/>
          <w:lang w:val="ru-RU"/>
        </w:rPr>
        <w:t>-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монодесметилового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метаболита (</w:t>
      </w:r>
      <w:r w:rsidRPr="008F54CF">
        <w:rPr>
          <w:color w:val="000000" w:themeColor="text1"/>
          <w:sz w:val="24"/>
          <w:szCs w:val="24"/>
        </w:rPr>
        <w:t>M</w:t>
      </w:r>
      <w:r w:rsidRPr="008F54CF">
        <w:rPr>
          <w:color w:val="000000" w:themeColor="text1"/>
          <w:sz w:val="24"/>
          <w:szCs w:val="24"/>
          <w:lang w:val="ru-RU"/>
        </w:rPr>
        <w:t xml:space="preserve">2). Выведение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мочой незначительно.</w:t>
      </w:r>
      <w:r w:rsidRPr="008F54CF">
        <w:rPr>
          <w:color w:val="000000" w:themeColor="text1"/>
          <w:sz w:val="24"/>
          <w:szCs w:val="24"/>
          <w:lang w:val="ru-RU"/>
        </w:rPr>
        <w:br/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метаболит </w:t>
      </w:r>
      <w:r w:rsidRPr="008F54CF">
        <w:rPr>
          <w:color w:val="000000" w:themeColor="text1"/>
          <w:sz w:val="24"/>
          <w:szCs w:val="24"/>
        </w:rPr>
        <w:t>M</w:t>
      </w:r>
      <w:r w:rsidRPr="008F54CF">
        <w:rPr>
          <w:color w:val="000000" w:themeColor="text1"/>
          <w:sz w:val="24"/>
          <w:szCs w:val="24"/>
          <w:lang w:val="ru-RU"/>
        </w:rPr>
        <w:t xml:space="preserve">2 не являются субстратами или ингибиторами </w:t>
      </w:r>
      <w:r w:rsidRPr="008F54CF">
        <w:rPr>
          <w:color w:val="000000" w:themeColor="text1"/>
          <w:sz w:val="24"/>
          <w:szCs w:val="24"/>
        </w:rPr>
        <w:t>P</w:t>
      </w:r>
      <w:r w:rsidRPr="008F54CF">
        <w:rPr>
          <w:color w:val="000000" w:themeColor="text1"/>
          <w:sz w:val="24"/>
          <w:szCs w:val="24"/>
          <w:lang w:val="ru-RU"/>
        </w:rPr>
        <w:t>-гликопротеина.</w:t>
      </w:r>
    </w:p>
    <w:p w14:paraId="3E01D04A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66A08A3C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lastRenderedPageBreak/>
        <w:t xml:space="preserve">Индукторы </w:t>
      </w:r>
      <w:r w:rsidRPr="008F54CF">
        <w:rPr>
          <w:i/>
          <w:iCs/>
          <w:color w:val="000000" w:themeColor="text1"/>
          <w:sz w:val="24"/>
          <w:szCs w:val="24"/>
        </w:rPr>
        <w:t>CYP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3</w:t>
      </w:r>
      <w:r w:rsidRPr="008F54CF">
        <w:rPr>
          <w:i/>
          <w:iCs/>
          <w:color w:val="000000" w:themeColor="text1"/>
          <w:sz w:val="24"/>
          <w:szCs w:val="24"/>
        </w:rPr>
        <w:t>A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4</w:t>
      </w:r>
    </w:p>
    <w:p w14:paraId="4914BB58" w14:textId="3EB66FDA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В исследовании взаимодействия однократной дозы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рифампицина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(сильного индуктора) один раз в день у здоровых взрослых экспозиция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</w:t>
      </w:r>
      <w:r w:rsidRPr="008F54CF">
        <w:rPr>
          <w:color w:val="000000" w:themeColor="text1"/>
          <w:sz w:val="22"/>
          <w:szCs w:val="22"/>
        </w:rPr>
        <w:t>AUC</w:t>
      </w:r>
      <w:r w:rsidRPr="008F54CF">
        <w:rPr>
          <w:color w:val="000000" w:themeColor="text1"/>
          <w:sz w:val="22"/>
          <w:szCs w:val="22"/>
          <w:lang w:val="ru-RU"/>
        </w:rPr>
        <w:t xml:space="preserve">) снизилась на 52% [90% ДИ (-57; -46)]. В связи с возможностью снижения терапевтического эффекта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из-за уменьшения системной экспозиции следует избегать одновременного применения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умеренных или сильных индукторов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 (например,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эфавиренза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этравирина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рифамицинов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включая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рифампицин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рифапентин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рифабутин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карбамазепина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фенитоина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зверобоя продырявленного </w:t>
      </w:r>
      <w:proofErr w:type="gramStart"/>
      <w:r w:rsidRPr="008F54CF">
        <w:rPr>
          <w:color w:val="000000" w:themeColor="text1"/>
          <w:sz w:val="22"/>
          <w:szCs w:val="22"/>
          <w:lang w:val="ru-RU"/>
        </w:rPr>
        <w:t>[</w:t>
      </w:r>
      <w:r w:rsidRPr="008F54CF">
        <w:rPr>
          <w:color w:val="000000" w:themeColor="text1"/>
          <w:sz w:val="22"/>
          <w:szCs w:val="22"/>
        </w:rPr>
        <w:t> </w:t>
      </w:r>
      <w:proofErr w:type="spellStart"/>
      <w:proofErr w:type="gramEnd"/>
      <w:r w:rsidRPr="008F54CF">
        <w:rPr>
          <w:rStyle w:val="ae"/>
          <w:color w:val="000000" w:themeColor="text1"/>
          <w:sz w:val="22"/>
          <w:szCs w:val="22"/>
        </w:rPr>
        <w:t>Hypericum</w:t>
      </w:r>
      <w:proofErr w:type="spellEnd"/>
      <w:r w:rsidRPr="008F54CF">
        <w:rPr>
          <w:rStyle w:val="ae"/>
          <w:color w:val="000000" w:themeColor="text1"/>
          <w:sz w:val="22"/>
          <w:szCs w:val="22"/>
          <w:lang w:val="ru-RU"/>
        </w:rPr>
        <w:t xml:space="preserve"> </w:t>
      </w:r>
      <w:proofErr w:type="spellStart"/>
      <w:r w:rsidRPr="008F54CF">
        <w:rPr>
          <w:rStyle w:val="ae"/>
          <w:color w:val="000000" w:themeColor="text1"/>
          <w:sz w:val="22"/>
          <w:szCs w:val="22"/>
        </w:rPr>
        <w:t>perforatum</w:t>
      </w:r>
      <w:proofErr w:type="spellEnd"/>
      <w:r w:rsidRPr="008F54CF">
        <w:rPr>
          <w:color w:val="000000" w:themeColor="text1"/>
          <w:sz w:val="22"/>
          <w:szCs w:val="22"/>
        </w:rPr>
        <w:t> </w:t>
      </w:r>
      <w:r w:rsidRPr="008F54CF">
        <w:rPr>
          <w:color w:val="000000" w:themeColor="text1"/>
          <w:sz w:val="22"/>
          <w:szCs w:val="22"/>
          <w:lang w:val="ru-RU"/>
        </w:rPr>
        <w:t>]).</w:t>
      </w:r>
    </w:p>
    <w:p w14:paraId="3B640506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В исследовании </w:t>
      </w:r>
      <w:r w:rsidRPr="008F54CF">
        <w:rPr>
          <w:color w:val="000000" w:themeColor="text1"/>
          <w:sz w:val="22"/>
          <w:szCs w:val="22"/>
        </w:rPr>
        <w:t>III</w:t>
      </w:r>
      <w:r w:rsidRPr="008F54CF">
        <w:rPr>
          <w:color w:val="000000" w:themeColor="text1"/>
          <w:sz w:val="22"/>
          <w:szCs w:val="22"/>
          <w:lang w:val="ru-RU"/>
        </w:rPr>
        <w:t xml:space="preserve"> фазы совместное применение слабого индуктора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невирапина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 составе комбинированной терапии в течение до 40 недель у пациентов с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коинфекцией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ВИЧ привело к незначительному снижению средней экспозиции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</w:t>
      </w:r>
      <w:r w:rsidRPr="008F54CF">
        <w:rPr>
          <w:color w:val="000000" w:themeColor="text1"/>
          <w:sz w:val="22"/>
          <w:szCs w:val="22"/>
        </w:rPr>
        <w:t>AUC</w:t>
      </w:r>
      <w:r w:rsidRPr="008F54CF">
        <w:rPr>
          <w:color w:val="000000" w:themeColor="text1"/>
          <w:sz w:val="22"/>
          <w:szCs w:val="22"/>
          <w:lang w:val="ru-RU"/>
        </w:rPr>
        <w:t xml:space="preserve">) по сравнению с подгруппой без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коинфекции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ВИЧ. Однако эта разница в экспозиции не была связана со снижением терапевтического эффекта. Следовательно, не требуется корректировка дозы при одновременном применении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со слабыми индукторами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4. </w:t>
      </w:r>
    </w:p>
    <w:p w14:paraId="1292AC99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Ингибиторы </w:t>
      </w:r>
      <w:r w:rsidRPr="008F54CF">
        <w:rPr>
          <w:i/>
          <w:iCs/>
          <w:color w:val="000000" w:themeColor="text1"/>
          <w:sz w:val="24"/>
          <w:szCs w:val="24"/>
        </w:rPr>
        <w:t>CYP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3</w:t>
      </w:r>
      <w:r w:rsidRPr="008F54CF">
        <w:rPr>
          <w:i/>
          <w:iCs/>
          <w:color w:val="000000" w:themeColor="text1"/>
          <w:sz w:val="24"/>
          <w:szCs w:val="24"/>
        </w:rPr>
        <w:t>A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4</w:t>
      </w:r>
    </w:p>
    <w:p w14:paraId="45B239C6" w14:textId="5A501BB4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Совместное применение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ингибиторов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 не оказывает клинически значимого влияния на концентрацию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 организме. Поэтому разрешено совместное применение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ингибиторов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4, и не требуется корректировка дозы.   </w:t>
      </w:r>
    </w:p>
    <w:p w14:paraId="615F4A6D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Кратковременное одновременное применение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кетоконазола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(сильного ингибитора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4) у здоровых взрослых увеличило среднюю экспозицию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</w:t>
      </w:r>
      <w:r w:rsidRPr="008F54CF">
        <w:rPr>
          <w:color w:val="000000" w:themeColor="text1"/>
          <w:sz w:val="22"/>
          <w:szCs w:val="22"/>
        </w:rPr>
        <w:t>AUC</w:t>
      </w:r>
      <w:r w:rsidRPr="008F54CF">
        <w:rPr>
          <w:color w:val="000000" w:themeColor="text1"/>
          <w:sz w:val="22"/>
          <w:szCs w:val="22"/>
          <w:lang w:val="ru-RU"/>
        </w:rPr>
        <w:t xml:space="preserve">) на 22% [90% ДИ (12; 32)]. У здоровых взрослых 10-дневное одновременное применение другого сильного ингибитора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 xml:space="preserve">4,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кларитромицина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, с однократной дозой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увеличило среднюю экспозицию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(</w:t>
      </w:r>
      <w:r w:rsidRPr="008F54CF">
        <w:rPr>
          <w:color w:val="000000" w:themeColor="text1"/>
          <w:sz w:val="22"/>
          <w:szCs w:val="22"/>
        </w:rPr>
        <w:t>AUC</w:t>
      </w:r>
      <w:r w:rsidRPr="008F54CF">
        <w:rPr>
          <w:color w:val="000000" w:themeColor="text1"/>
          <w:sz w:val="22"/>
          <w:szCs w:val="22"/>
          <w:lang w:val="ru-RU"/>
        </w:rPr>
        <w:t xml:space="preserve">) на 14% [90% ДИ (9; 19)]. Более выраженный эффект на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может наблюдаться при длительном одновременном применении ингибиторов </w:t>
      </w:r>
      <w:r w:rsidRPr="008F54CF">
        <w:rPr>
          <w:color w:val="000000" w:themeColor="text1"/>
          <w:sz w:val="22"/>
          <w:szCs w:val="22"/>
        </w:rPr>
        <w:t>CYP</w:t>
      </w:r>
      <w:r w:rsidRPr="008F54CF">
        <w:rPr>
          <w:color w:val="000000" w:themeColor="text1"/>
          <w:sz w:val="22"/>
          <w:szCs w:val="22"/>
          <w:lang w:val="ru-RU"/>
        </w:rPr>
        <w:t>3</w:t>
      </w:r>
      <w:r w:rsidRPr="008F54CF">
        <w:rPr>
          <w:color w:val="000000" w:themeColor="text1"/>
          <w:sz w:val="22"/>
          <w:szCs w:val="22"/>
        </w:rPr>
        <w:t>A</w:t>
      </w:r>
      <w:r w:rsidRPr="008F54CF">
        <w:rPr>
          <w:color w:val="000000" w:themeColor="text1"/>
          <w:sz w:val="22"/>
          <w:szCs w:val="22"/>
          <w:lang w:val="ru-RU"/>
        </w:rPr>
        <w:t>4.</w:t>
      </w:r>
    </w:p>
    <w:p w14:paraId="1FB72E36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В ходе </w:t>
      </w:r>
      <w:r w:rsidRPr="008F54CF">
        <w:rPr>
          <w:color w:val="000000" w:themeColor="text1"/>
          <w:sz w:val="22"/>
          <w:szCs w:val="22"/>
        </w:rPr>
        <w:t>III</w:t>
      </w:r>
      <w:r w:rsidRPr="008F54CF">
        <w:rPr>
          <w:color w:val="000000" w:themeColor="text1"/>
          <w:sz w:val="22"/>
          <w:szCs w:val="22"/>
          <w:lang w:val="ru-RU"/>
        </w:rPr>
        <w:t xml:space="preserve"> фазы клинических испытаний длительное одновременное применение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 составе комбинированной терапии с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лопинавиром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>/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ритонавиром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у пациентов с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коинфекцией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ВИЧ привело к незначительному увеличению средней концентрации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на 24-й неделе по сравнению с подгруппой без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коинфекции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ВИЧ. Коррекция дозы не требуется.</w:t>
      </w:r>
    </w:p>
    <w:p w14:paraId="517495B3" w14:textId="77777777" w:rsidR="00D61B12" w:rsidRPr="008F54CF" w:rsidRDefault="00D61B12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2"/>
          <w:szCs w:val="22"/>
          <w:lang w:val="ru-RU"/>
        </w:rPr>
      </w:pPr>
      <w:r w:rsidRPr="008F54CF">
        <w:rPr>
          <w:color w:val="000000" w:themeColor="text1"/>
          <w:sz w:val="22"/>
          <w:szCs w:val="22"/>
          <w:lang w:val="ru-RU"/>
        </w:rPr>
        <w:t xml:space="preserve">В открытом исследовании </w:t>
      </w:r>
      <w:proofErr w:type="spellStart"/>
      <w:r w:rsidRPr="008F54CF">
        <w:rPr>
          <w:color w:val="000000" w:themeColor="text1"/>
          <w:sz w:val="22"/>
          <w:szCs w:val="22"/>
        </w:rPr>
        <w:t>IIb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фазы длительное одновременное применение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клофазимина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бедаквелина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 составе комбинированной терапии в течение до 24 недель не повлияло на концентрацию </w:t>
      </w:r>
      <w:proofErr w:type="spellStart"/>
      <w:r w:rsidRPr="008F54CF">
        <w:rPr>
          <w:color w:val="000000" w:themeColor="text1"/>
          <w:sz w:val="22"/>
          <w:szCs w:val="22"/>
          <w:lang w:val="ru-RU"/>
        </w:rPr>
        <w:t>бедаквилина</w:t>
      </w:r>
      <w:proofErr w:type="spellEnd"/>
      <w:r w:rsidRPr="008F54CF">
        <w:rPr>
          <w:color w:val="000000" w:themeColor="text1"/>
          <w:sz w:val="22"/>
          <w:szCs w:val="22"/>
          <w:lang w:val="ru-RU"/>
        </w:rPr>
        <w:t xml:space="preserve"> в крови. </w:t>
      </w:r>
    </w:p>
    <w:p w14:paraId="4E439DA9" w14:textId="77777777" w:rsidR="00076F84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Другие противотуберкулёзные препараты</w:t>
      </w:r>
    </w:p>
    <w:p w14:paraId="079D0647" w14:textId="21F240DF" w:rsidR="00D61B12" w:rsidRPr="008F54CF" w:rsidRDefault="00E4555D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Кратковременное совместное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/>
        </w:rPr>
        <w:t>/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/>
        </w:rPr>
        <w:t>пиразинамидом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здоровых взрослых не вызывало клинически значимых изменений экспозиции (</w:t>
      </w:r>
      <w:r w:rsidRPr="008F54CF">
        <w:rPr>
          <w:color w:val="000000" w:themeColor="text1"/>
          <w:sz w:val="24"/>
          <w:szCs w:val="24"/>
        </w:rPr>
        <w:t>AUC</w:t>
      </w:r>
      <w:r w:rsidRPr="008F54CF">
        <w:rPr>
          <w:color w:val="000000" w:themeColor="text1"/>
          <w:sz w:val="24"/>
          <w:szCs w:val="24"/>
          <w:lang w:val="ru-RU"/>
        </w:rPr>
        <w:t xml:space="preserve">)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изониазида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пиразинамида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. </w:t>
      </w:r>
      <w:r w:rsidR="00D61B12" w:rsidRPr="008F54CF">
        <w:rPr>
          <w:color w:val="000000" w:themeColor="text1"/>
          <w:lang w:val="ru-RU"/>
        </w:rPr>
        <w:t xml:space="preserve">Не требуется коррекция доз </w:t>
      </w:r>
      <w:proofErr w:type="spellStart"/>
      <w:r w:rsidR="00D61B12" w:rsidRPr="008F54CF">
        <w:rPr>
          <w:color w:val="000000" w:themeColor="text1"/>
          <w:lang w:val="ru-RU"/>
        </w:rPr>
        <w:t>изониазида</w:t>
      </w:r>
      <w:proofErr w:type="spellEnd"/>
      <w:r w:rsidR="00D61B12" w:rsidRPr="008F54CF">
        <w:rPr>
          <w:color w:val="000000" w:themeColor="text1"/>
          <w:lang w:val="ru-RU"/>
        </w:rPr>
        <w:t xml:space="preserve"> или </w:t>
      </w:r>
      <w:proofErr w:type="spellStart"/>
      <w:r w:rsidR="00D61B12" w:rsidRPr="008F54CF">
        <w:rPr>
          <w:color w:val="000000" w:themeColor="text1"/>
          <w:lang w:val="ru-RU"/>
        </w:rPr>
        <w:t>пиразинамида</w:t>
      </w:r>
      <w:proofErr w:type="spellEnd"/>
      <w:r w:rsidR="00D61B12" w:rsidRPr="008F54CF">
        <w:rPr>
          <w:color w:val="000000" w:themeColor="text1"/>
          <w:lang w:val="ru-RU"/>
        </w:rPr>
        <w:t xml:space="preserve"> при совместном применении с </w:t>
      </w:r>
      <w:proofErr w:type="spellStart"/>
      <w:r w:rsidR="00D61B12" w:rsidRPr="008F54CF">
        <w:rPr>
          <w:color w:val="000000" w:themeColor="text1"/>
          <w:lang w:val="ru-RU"/>
        </w:rPr>
        <w:t>бедаквилином</w:t>
      </w:r>
      <w:proofErr w:type="spellEnd"/>
      <w:r w:rsidR="00D61B12" w:rsidRPr="008F54CF">
        <w:rPr>
          <w:color w:val="000000" w:themeColor="text1"/>
          <w:lang w:val="ru-RU"/>
        </w:rPr>
        <w:t>.</w:t>
      </w:r>
    </w:p>
    <w:p w14:paraId="2E068B44" w14:textId="77777777" w:rsidR="00D61B12" w:rsidRPr="008F54CF" w:rsidRDefault="00D61B12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lang w:val="ru-RU"/>
        </w:rPr>
        <w:t xml:space="preserve">В плацебо-контролируемом клиническом исследовании у пациентов с туберкулезом, </w:t>
      </w:r>
      <w:proofErr w:type="gramStart"/>
      <w:r w:rsidRPr="008F54CF">
        <w:rPr>
          <w:color w:val="000000" w:themeColor="text1"/>
          <w:lang w:val="ru-RU"/>
        </w:rPr>
        <w:t>вызванной</w:t>
      </w:r>
      <w:proofErr w:type="gramEnd"/>
      <w:r w:rsidRPr="008F54CF">
        <w:rPr>
          <w:color w:val="000000" w:themeColor="text1"/>
          <w:lang w:val="ru-RU"/>
        </w:rPr>
        <w:t xml:space="preserve"> </w:t>
      </w:r>
      <w:proofErr w:type="spellStart"/>
      <w:r w:rsidRPr="008F54CF">
        <w:rPr>
          <w:color w:val="000000" w:themeColor="text1"/>
          <w:lang w:val="ru-RU"/>
        </w:rPr>
        <w:t>мультирезистентными</w:t>
      </w:r>
      <w:proofErr w:type="spellEnd"/>
      <w:r w:rsidRPr="008F54CF">
        <w:rPr>
          <w:color w:val="000000" w:themeColor="text1"/>
          <w:lang w:val="ru-RU"/>
        </w:rPr>
        <w:t xml:space="preserve"> штаммами </w:t>
      </w:r>
      <w:r w:rsidRPr="008F54CF">
        <w:rPr>
          <w:i/>
          <w:iCs/>
          <w:color w:val="000000" w:themeColor="text1"/>
        </w:rPr>
        <w:t>Mycobacterium</w:t>
      </w:r>
      <w:r w:rsidRPr="008F54CF">
        <w:rPr>
          <w:i/>
          <w:iCs/>
          <w:color w:val="000000" w:themeColor="text1"/>
          <w:lang w:val="ru-RU"/>
        </w:rPr>
        <w:t xml:space="preserve"> </w:t>
      </w:r>
      <w:r w:rsidRPr="008F54CF">
        <w:rPr>
          <w:i/>
          <w:iCs/>
          <w:color w:val="000000" w:themeColor="text1"/>
        </w:rPr>
        <w:t>tuberculosis</w:t>
      </w:r>
      <w:r w:rsidRPr="008F54CF">
        <w:rPr>
          <w:color w:val="000000" w:themeColor="text1"/>
          <w:lang w:val="ru-RU"/>
        </w:rPr>
        <w:t xml:space="preserve">, значимого влияния </w:t>
      </w:r>
      <w:proofErr w:type="spellStart"/>
      <w:r w:rsidRPr="008F54CF">
        <w:rPr>
          <w:color w:val="000000" w:themeColor="text1"/>
          <w:lang w:val="ru-RU"/>
        </w:rPr>
        <w:t>бедаквилина</w:t>
      </w:r>
      <w:proofErr w:type="spellEnd"/>
      <w:r w:rsidRPr="008F54CF">
        <w:rPr>
          <w:color w:val="000000" w:themeColor="text1"/>
          <w:lang w:val="ru-RU"/>
        </w:rPr>
        <w:t xml:space="preserve"> на </w:t>
      </w:r>
      <w:proofErr w:type="spellStart"/>
      <w:r w:rsidRPr="008F54CF">
        <w:rPr>
          <w:color w:val="000000" w:themeColor="text1"/>
          <w:lang w:val="ru-RU"/>
        </w:rPr>
        <w:t>фармакокинетику</w:t>
      </w:r>
      <w:proofErr w:type="spellEnd"/>
      <w:r w:rsidRPr="008F54CF">
        <w:rPr>
          <w:color w:val="000000" w:themeColor="text1"/>
          <w:lang w:val="ru-RU"/>
        </w:rPr>
        <w:t xml:space="preserve"> </w:t>
      </w:r>
      <w:proofErr w:type="spellStart"/>
      <w:r w:rsidRPr="008F54CF">
        <w:rPr>
          <w:color w:val="000000" w:themeColor="text1"/>
          <w:lang w:val="ru-RU"/>
        </w:rPr>
        <w:t>этамбутола</w:t>
      </w:r>
      <w:proofErr w:type="spellEnd"/>
      <w:r w:rsidRPr="008F54CF">
        <w:rPr>
          <w:color w:val="000000" w:themeColor="text1"/>
          <w:lang w:val="ru-RU"/>
        </w:rPr>
        <w:t xml:space="preserve">, </w:t>
      </w:r>
      <w:proofErr w:type="spellStart"/>
      <w:r w:rsidRPr="008F54CF">
        <w:rPr>
          <w:color w:val="000000" w:themeColor="text1"/>
          <w:lang w:val="ru-RU"/>
        </w:rPr>
        <w:t>канамицина</w:t>
      </w:r>
      <w:proofErr w:type="spellEnd"/>
      <w:r w:rsidRPr="008F54CF">
        <w:rPr>
          <w:color w:val="000000" w:themeColor="text1"/>
          <w:lang w:val="ru-RU"/>
        </w:rPr>
        <w:t xml:space="preserve">, </w:t>
      </w:r>
      <w:proofErr w:type="spellStart"/>
      <w:r w:rsidRPr="008F54CF">
        <w:rPr>
          <w:color w:val="000000" w:themeColor="text1"/>
          <w:lang w:val="ru-RU"/>
        </w:rPr>
        <w:t>пиразинамида</w:t>
      </w:r>
      <w:proofErr w:type="spellEnd"/>
      <w:r w:rsidRPr="008F54CF">
        <w:rPr>
          <w:color w:val="000000" w:themeColor="text1"/>
          <w:lang w:val="ru-RU"/>
        </w:rPr>
        <w:t xml:space="preserve">, </w:t>
      </w:r>
      <w:proofErr w:type="spellStart"/>
      <w:r w:rsidRPr="008F54CF">
        <w:rPr>
          <w:color w:val="000000" w:themeColor="text1"/>
          <w:lang w:val="ru-RU"/>
        </w:rPr>
        <w:t>офлоксацина</w:t>
      </w:r>
      <w:proofErr w:type="spellEnd"/>
      <w:r w:rsidRPr="008F54CF">
        <w:rPr>
          <w:color w:val="000000" w:themeColor="text1"/>
          <w:lang w:val="ru-RU"/>
        </w:rPr>
        <w:t xml:space="preserve"> или </w:t>
      </w:r>
      <w:proofErr w:type="spellStart"/>
      <w:r w:rsidRPr="008F54CF">
        <w:rPr>
          <w:color w:val="000000" w:themeColor="text1"/>
          <w:lang w:val="ru-RU"/>
        </w:rPr>
        <w:t>циклосерина</w:t>
      </w:r>
      <w:proofErr w:type="spellEnd"/>
      <w:r w:rsidRPr="008F54CF">
        <w:rPr>
          <w:color w:val="000000" w:themeColor="text1"/>
          <w:lang w:val="ru-RU"/>
        </w:rPr>
        <w:t xml:space="preserve">  не отмечено. </w:t>
      </w:r>
    </w:p>
    <w:p w14:paraId="5C3F4362" w14:textId="5CDC39AA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02090097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Антиретровирусные препараты</w:t>
      </w:r>
    </w:p>
    <w:p w14:paraId="2E68493E" w14:textId="65AF6262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8F54CF">
        <w:rPr>
          <w:color w:val="000000" w:themeColor="text1"/>
          <w:sz w:val="24"/>
          <w:szCs w:val="24"/>
          <w:lang w:val="ru-RU"/>
        </w:rPr>
        <w:t xml:space="preserve">В исследовании взаимодействия однократной дозы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многократных доз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лопинавира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ритонавира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взрослых экспозиция (</w:t>
      </w:r>
      <w:r w:rsidRPr="008F54CF">
        <w:rPr>
          <w:color w:val="000000" w:themeColor="text1"/>
          <w:sz w:val="24"/>
          <w:szCs w:val="24"/>
        </w:rPr>
        <w:t>AUC</w:t>
      </w:r>
      <w:r w:rsidRPr="008F54CF">
        <w:rPr>
          <w:color w:val="000000" w:themeColor="text1"/>
          <w:sz w:val="24"/>
          <w:szCs w:val="24"/>
          <w:lang w:val="ru-RU"/>
        </w:rPr>
        <w:t xml:space="preserve">)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увеличилась примерно на 22%. Длительное совместное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 составе комбинированной терапии 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лопинавиром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пациентов 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коинфекцией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ВИЧ сопровождалось умеренным повышением средней экспозиции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на 24-й неделе по сравнению с подгруппой без ВИЧ-инфекции.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Можно ожидать увеличения </w:t>
      </w:r>
      <w:r w:rsidRPr="008F54CF">
        <w:rPr>
          <w:color w:val="000000" w:themeColor="text1"/>
          <w:sz w:val="24"/>
          <w:szCs w:val="24"/>
          <w:lang w:val="ru-RU"/>
        </w:rPr>
        <w:lastRenderedPageBreak/>
        <w:t xml:space="preserve">плазменной экспозиции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при совместном применении с другими ингибиторами протеазы ВИЧ, потенцированными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. В настоящее время нет данных, подтверждающих необходимость снижения дозы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при его совместном применении 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лопинавиром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/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или другими ингибиторами протеазы ВИЧ, потенцированными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ритонавиром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.</w:t>
      </w:r>
    </w:p>
    <w:p w14:paraId="71CEA5B1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Совместное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невирапина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взрослых не приводило к клинически значимым изменениям экспозиции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. Клинические данные о совместном применении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другими антиретровирусными средствами у взрослых пациентов 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коинфекцией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ВИЧ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мультирезистентным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i/>
          <w:iCs/>
          <w:color w:val="000000" w:themeColor="text1"/>
          <w:sz w:val="24"/>
          <w:szCs w:val="24"/>
        </w:rPr>
        <w:t>Mycobacterium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i/>
          <w:iCs/>
          <w:color w:val="000000" w:themeColor="text1"/>
          <w:sz w:val="24"/>
          <w:szCs w:val="24"/>
        </w:rPr>
        <w:t>tuberculosis</w:t>
      </w:r>
      <w:r w:rsidRPr="008F54CF">
        <w:rPr>
          <w:color w:val="000000" w:themeColor="text1"/>
          <w:sz w:val="24"/>
          <w:szCs w:val="24"/>
          <w:lang w:val="ru-RU"/>
        </w:rPr>
        <w:t xml:space="preserve"> отсутствуют.</w:t>
      </w:r>
    </w:p>
    <w:p w14:paraId="5B007C9C" w14:textId="77777777" w:rsidR="00D61B12" w:rsidRPr="008F54CF" w:rsidRDefault="00D61B12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1FB763CD" w14:textId="0C274EA3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Препараты, удлиняющие интервал </w:t>
      </w:r>
      <w:r w:rsidRPr="008F54CF">
        <w:rPr>
          <w:i/>
          <w:iCs/>
          <w:color w:val="000000" w:themeColor="text1"/>
          <w:sz w:val="24"/>
          <w:szCs w:val="24"/>
        </w:rPr>
        <w:t>QT</w:t>
      </w:r>
    </w:p>
    <w:p w14:paraId="597C638C" w14:textId="497F256A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Имеется ограниченная информация о возможном фармакодинамическом взаимодействии между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лекарственными средствами, удлиняющими интервал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 xml:space="preserve">. В исследовании взаимодействия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кетоконазола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взрослых отмечено более выраженное удлинение интервала </w:t>
      </w:r>
      <w:proofErr w:type="spellStart"/>
      <w:r w:rsidRPr="008F54CF">
        <w:rPr>
          <w:color w:val="000000" w:themeColor="text1"/>
          <w:sz w:val="24"/>
          <w:szCs w:val="24"/>
        </w:rPr>
        <w:t>QTc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после повторного применения этих препаратов в комбинации, чем после приёма каждого из них по отдельности.</w:t>
      </w:r>
    </w:p>
    <w:p w14:paraId="1403D4EB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color w:val="000000" w:themeColor="text1"/>
          <w:sz w:val="24"/>
          <w:szCs w:val="24"/>
          <w:lang w:val="ru-RU"/>
        </w:rPr>
        <w:t>Моксифлоксацин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может быть включён в режим лечения, содержащий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; данное сочетание, как правило, хорошо переносится. Тем не менее, в целом возможно аддитивное или синергическое удлинение интервала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 xml:space="preserve"> при совместном применении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другими препаратами, способными его удлинять, поэтому рекомендуется частый мониторинг (см. раздел 4.4).</w:t>
      </w:r>
    </w:p>
    <w:p w14:paraId="720BF3CA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4F9483F8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Интервал </w:t>
      </w:r>
      <w:r w:rsidRPr="008F54CF">
        <w:rPr>
          <w:i/>
          <w:iCs/>
          <w:color w:val="000000" w:themeColor="text1"/>
          <w:sz w:val="24"/>
          <w:szCs w:val="24"/>
        </w:rPr>
        <w:t>QT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и одновременное применение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/>
        </w:rPr>
        <w:t>клофазимина</w:t>
      </w:r>
      <w:proofErr w:type="spellEnd"/>
    </w:p>
    <w:p w14:paraId="145E2C5C" w14:textId="77777777" w:rsidR="00076F84" w:rsidRDefault="00E4555D" w:rsidP="00076F84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8F54CF">
        <w:rPr>
          <w:color w:val="000000" w:themeColor="text1"/>
          <w:sz w:val="24"/>
          <w:szCs w:val="24"/>
          <w:lang w:val="ru-RU"/>
        </w:rPr>
        <w:t xml:space="preserve">В открытом исследовании среднее увеличение интервала </w:t>
      </w:r>
      <w:proofErr w:type="spellStart"/>
      <w:r w:rsidRPr="008F54CF">
        <w:rPr>
          <w:color w:val="000000" w:themeColor="text1"/>
          <w:sz w:val="24"/>
          <w:szCs w:val="24"/>
        </w:rPr>
        <w:t>QTcF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было более выраженным у 17 взрослых пациентов, которые получали одновременное лечение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клофазимином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на 24-й неделе 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(</w:t>
      </w:r>
      <w:r w:rsidRPr="008F54C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 xml:space="preserve">среднее изменение по сравнению с исходным значением составило 31,9 </w:t>
      </w:r>
      <w:proofErr w:type="spellStart"/>
      <w:r w:rsidRPr="008F54C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>мс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), чем у пациентов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Pr="008F54CF">
        <w:rPr>
          <w:color w:val="000000" w:themeColor="text1"/>
          <w:sz w:val="24"/>
          <w:szCs w:val="24"/>
          <w:lang w:val="ru-RU"/>
        </w:rPr>
        <w:t xml:space="preserve">не получавших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на 24-й неделе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(</w:t>
      </w:r>
      <w:r w:rsidRPr="008F54C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 xml:space="preserve">среднее изменение по сравнению с исходным значением составило 12,3 </w:t>
      </w:r>
      <w:proofErr w:type="spellStart"/>
      <w:r w:rsidRPr="008F54CF">
        <w:rPr>
          <w:rStyle w:val="ae"/>
          <w:i w:val="0"/>
          <w:iCs w:val="0"/>
          <w:color w:val="000000" w:themeColor="text1"/>
          <w:sz w:val="24"/>
          <w:szCs w:val="24"/>
          <w:lang w:val="ru-RU"/>
        </w:rPr>
        <w:t>мс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/>
        </w:rPr>
        <w:t>) (</w:t>
      </w:r>
      <w:r w:rsidRPr="008F54CF">
        <w:rPr>
          <w:color w:val="000000" w:themeColor="text1"/>
          <w:sz w:val="24"/>
          <w:szCs w:val="24"/>
          <w:lang w:val="ru-RU"/>
        </w:rPr>
        <w:t>см. раздел 4.4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).</w:t>
      </w:r>
      <w:proofErr w:type="gramEnd"/>
      <w:r w:rsidRPr="008F54CF">
        <w:rPr>
          <w:i/>
          <w:iCs/>
          <w:color w:val="000000" w:themeColor="text1"/>
          <w:sz w:val="24"/>
          <w:szCs w:val="24"/>
          <w:lang w:val="ru-RU"/>
        </w:rPr>
        <w:br/>
      </w:r>
      <w:r w:rsidRPr="008F54CF">
        <w:rPr>
          <w:color w:val="000000" w:themeColor="text1"/>
          <w:sz w:val="24"/>
          <w:szCs w:val="24"/>
          <w:lang w:val="ru-RU"/>
        </w:rPr>
        <w:t xml:space="preserve">В другом исследовании наблюдалось аддитивное увеличение интервала </w:t>
      </w:r>
      <w:proofErr w:type="spellStart"/>
      <w:r w:rsidRPr="008F54CF">
        <w:rPr>
          <w:color w:val="000000" w:themeColor="text1"/>
          <w:sz w:val="24"/>
          <w:szCs w:val="24"/>
        </w:rPr>
        <w:t>QTcF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при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0F97970A" w14:textId="7BD88854" w:rsidR="00E4555D" w:rsidRPr="008F54CF" w:rsidRDefault="00E4555D" w:rsidP="00076F84">
      <w:pPr>
        <w:jc w:val="both"/>
        <w:rPr>
          <w:color w:val="000000" w:themeColor="text1"/>
          <w:sz w:val="24"/>
          <w:szCs w:val="24"/>
          <w:lang w:val="ru-RU"/>
        </w:rPr>
      </w:pPr>
      <w:proofErr w:type="gramStart"/>
      <w:r w:rsidRPr="008F54CF">
        <w:rPr>
          <w:color w:val="000000" w:themeColor="text1"/>
          <w:sz w:val="24"/>
          <w:szCs w:val="24"/>
          <w:lang w:val="ru-RU"/>
        </w:rPr>
        <w:t>сочетании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клофазимина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левофлоксацина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.</w:t>
      </w:r>
    </w:p>
    <w:p w14:paraId="458A1B39" w14:textId="77777777" w:rsidR="00E4555D" w:rsidRPr="008F54CF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3CF30696" w14:textId="77777777" w:rsidR="00076F84" w:rsidRDefault="00E4555D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Педиатрическая популяция</w:t>
      </w:r>
    </w:p>
    <w:p w14:paraId="5E432336" w14:textId="74D5D1DC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Исследования взаимодействий проводились только у взрослых.</w:t>
      </w:r>
    </w:p>
    <w:p w14:paraId="500E3271" w14:textId="201EF681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72DED2ED" w14:textId="77777777" w:rsidR="00BE5F73" w:rsidRPr="008F54CF" w:rsidRDefault="00BE5F73" w:rsidP="007F61C7">
      <w:pPr>
        <w:jc w:val="both"/>
        <w:rPr>
          <w:b/>
          <w:i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i/>
          <w:color w:val="000000" w:themeColor="text1"/>
          <w:sz w:val="24"/>
          <w:szCs w:val="24"/>
          <w:lang w:val="ru-RU" w:eastAsia="ru-RU"/>
        </w:rPr>
        <w:t>Специальные предупреждения</w:t>
      </w:r>
    </w:p>
    <w:p w14:paraId="6DE92BF1" w14:textId="0E614220" w:rsidR="00BE5F73" w:rsidRPr="008F54CF" w:rsidRDefault="00BE5F73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Фертильность, беременность и грудное вскармливание</w:t>
      </w:r>
    </w:p>
    <w:p w14:paraId="2547B257" w14:textId="77777777" w:rsidR="00BE5F73" w:rsidRPr="008F54CF" w:rsidRDefault="00BE5F73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Беременность</w:t>
      </w:r>
    </w:p>
    <w:p w14:paraId="4A45BE9B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Имеются ограниченные данные о применении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у беременных женщин. Применение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во время беременности связано с рождением детей с меньшей массой тела по сравнению с детьми, матери которых не принимали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; однако у этих новорождённых не отмечалось поздних нежелательных эффектов.</w:t>
      </w:r>
      <w:r w:rsidRPr="008F54CF">
        <w:rPr>
          <w:color w:val="000000" w:themeColor="text1"/>
          <w:sz w:val="24"/>
          <w:szCs w:val="24"/>
          <w:lang w:val="ru-RU"/>
        </w:rPr>
        <w:br/>
        <w:t>Исследования на животных не указывают на наличие прямой или косвенной репродуктивной токсичности (см. раздел 5.3).</w:t>
      </w:r>
      <w:r w:rsidRPr="008F54CF">
        <w:rPr>
          <w:color w:val="000000" w:themeColor="text1"/>
          <w:sz w:val="24"/>
          <w:szCs w:val="24"/>
          <w:lang w:val="ru-RU"/>
        </w:rPr>
        <w:br/>
        <w:t>Препарат РЕСИЛИН следует применять у беременных женщин только в случае, если потенциальная польза превышает возможный риск для плода.</w:t>
      </w:r>
    </w:p>
    <w:p w14:paraId="70AE272F" w14:textId="77777777" w:rsidR="00BE5F73" w:rsidRPr="008F54CF" w:rsidRDefault="00BE5F73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49E0DA7C" w14:textId="77777777" w:rsidR="00076F84" w:rsidRDefault="00BE5F73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Грудное вскармливание</w:t>
      </w:r>
    </w:p>
    <w:p w14:paraId="14F62966" w14:textId="48653665" w:rsidR="00D61B12" w:rsidRPr="008F54CF" w:rsidRDefault="00D61B12" w:rsidP="007F61C7">
      <w:pPr>
        <w:jc w:val="both"/>
        <w:rPr>
          <w:color w:val="000000" w:themeColor="text1"/>
          <w:lang w:val="ru-RU"/>
        </w:rPr>
      </w:pPr>
      <w:proofErr w:type="spellStart"/>
      <w:r w:rsidRPr="008F54CF">
        <w:rPr>
          <w:color w:val="000000" w:themeColor="text1"/>
          <w:lang w:val="ru-RU"/>
        </w:rPr>
        <w:t>Бедаквилин</w:t>
      </w:r>
      <w:proofErr w:type="spellEnd"/>
      <w:r w:rsidRPr="008F54CF">
        <w:rPr>
          <w:color w:val="000000" w:themeColor="text1"/>
          <w:lang w:val="ru-RU"/>
        </w:rPr>
        <w:t xml:space="preserve"> проникает в грудное молоко. Имеющиеся ограниченные данные свидетельствуют о </w:t>
      </w:r>
      <w:r w:rsidRPr="008F54CF">
        <w:rPr>
          <w:color w:val="000000" w:themeColor="text1"/>
          <w:lang w:val="ru-RU"/>
        </w:rPr>
        <w:lastRenderedPageBreak/>
        <w:t xml:space="preserve">том, что концентрация </w:t>
      </w:r>
      <w:proofErr w:type="spellStart"/>
      <w:r w:rsidRPr="008F54CF">
        <w:rPr>
          <w:color w:val="000000" w:themeColor="text1"/>
          <w:lang w:val="ru-RU"/>
        </w:rPr>
        <w:t>бедаквилина</w:t>
      </w:r>
      <w:proofErr w:type="spellEnd"/>
      <w:r w:rsidRPr="008F54CF">
        <w:rPr>
          <w:color w:val="000000" w:themeColor="text1"/>
          <w:lang w:val="ru-RU"/>
        </w:rPr>
        <w:t xml:space="preserve"> в молоке выше, чем в плазме крови матери. У младенца, находящегося на грудном вскармливании, однократная случайная концентрация </w:t>
      </w:r>
      <w:proofErr w:type="spellStart"/>
      <w:r w:rsidRPr="008F54CF">
        <w:rPr>
          <w:color w:val="000000" w:themeColor="text1"/>
          <w:lang w:val="ru-RU"/>
        </w:rPr>
        <w:t>бедаквилина</w:t>
      </w:r>
      <w:proofErr w:type="spellEnd"/>
      <w:r w:rsidRPr="008F54CF">
        <w:rPr>
          <w:color w:val="000000" w:themeColor="text1"/>
          <w:lang w:val="ru-RU"/>
        </w:rPr>
        <w:t xml:space="preserve"> в плазме крови была аналогична концентрации в плазме крови матери; у матери наблюдалась высокая концентрация </w:t>
      </w:r>
      <w:proofErr w:type="spellStart"/>
      <w:r w:rsidRPr="008F54CF">
        <w:rPr>
          <w:color w:val="000000" w:themeColor="text1"/>
          <w:lang w:val="ru-RU"/>
        </w:rPr>
        <w:t>бедаквилина</w:t>
      </w:r>
      <w:proofErr w:type="spellEnd"/>
      <w:r w:rsidRPr="008F54CF">
        <w:rPr>
          <w:color w:val="000000" w:themeColor="text1"/>
          <w:lang w:val="ru-RU"/>
        </w:rPr>
        <w:t xml:space="preserve"> в грудном молоке, с соотношением молоко-плазма 14:1. Это соответствует результатам исследований на животных. </w:t>
      </w:r>
    </w:p>
    <w:p w14:paraId="429EDBE9" w14:textId="77777777" w:rsidR="00D61B12" w:rsidRPr="008F54CF" w:rsidRDefault="00D61B12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lang w:val="ru-RU"/>
        </w:rPr>
        <w:t xml:space="preserve">Имеющаяся информация указывает на то, что системное воздействие на младенцев, находящихся на грудном вскармливании, может достигать уровней, аналогичных тем, которые наблюдались у кормящих матерей, получавших </w:t>
      </w:r>
      <w:proofErr w:type="spellStart"/>
      <w:r w:rsidRPr="008F54CF">
        <w:rPr>
          <w:color w:val="000000" w:themeColor="text1"/>
          <w:lang w:val="ru-RU"/>
        </w:rPr>
        <w:t>бедаквилин</w:t>
      </w:r>
      <w:proofErr w:type="spellEnd"/>
      <w:r w:rsidRPr="008F54CF">
        <w:rPr>
          <w:color w:val="000000" w:themeColor="text1"/>
          <w:lang w:val="ru-RU"/>
        </w:rPr>
        <w:t xml:space="preserve">. Клинические последствия такого воздействия неизвестны. </w:t>
      </w:r>
    </w:p>
    <w:p w14:paraId="636759C7" w14:textId="77777777" w:rsidR="00D61B12" w:rsidRPr="008F54CF" w:rsidRDefault="00D61B12" w:rsidP="007F61C7">
      <w:pPr>
        <w:jc w:val="both"/>
        <w:rPr>
          <w:color w:val="000000" w:themeColor="text1"/>
          <w:lang w:val="ru-RU"/>
        </w:rPr>
      </w:pPr>
      <w:r w:rsidRPr="008F54CF">
        <w:rPr>
          <w:color w:val="000000" w:themeColor="text1"/>
          <w:lang w:val="ru-RU"/>
        </w:rPr>
        <w:t xml:space="preserve">В связи с возможностью развития нежелательных реакций у грудных детей необходимо принять решение  - прекратить грудное вскармливание либо прекратить или временно приостановить терапию </w:t>
      </w:r>
      <w:proofErr w:type="spellStart"/>
      <w:r w:rsidRPr="008F54CF">
        <w:rPr>
          <w:color w:val="000000" w:themeColor="text1"/>
          <w:lang w:val="ru-RU"/>
        </w:rPr>
        <w:t>бедаквилином</w:t>
      </w:r>
      <w:proofErr w:type="spellEnd"/>
      <w:r w:rsidRPr="008F54CF">
        <w:rPr>
          <w:color w:val="000000" w:themeColor="text1"/>
          <w:lang w:val="ru-RU"/>
        </w:rPr>
        <w:t>, принимая во внимание пользу грудного вскармливания для ребёнка и пользу терапии для матери.</w:t>
      </w:r>
    </w:p>
    <w:p w14:paraId="2131F1A0" w14:textId="77777777" w:rsidR="00BE5F73" w:rsidRPr="008F54CF" w:rsidRDefault="00BE5F73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2B138BE8" w14:textId="2DCB2ACD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Фертильность</w:t>
      </w:r>
      <w:r w:rsidRPr="008F54CF">
        <w:rPr>
          <w:color w:val="000000" w:themeColor="text1"/>
          <w:sz w:val="24"/>
          <w:szCs w:val="24"/>
          <w:lang w:val="ru-RU"/>
        </w:rPr>
        <w:br/>
        <w:t xml:space="preserve">Данных о влиянии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на фертильность у человека нет. У самок крыс лечение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не оказывало влияния на спаривание или фертильность; однако у самцов крыс наблюдались некоторые изменения (см. раздел 5.3).</w:t>
      </w:r>
    </w:p>
    <w:p w14:paraId="27EB10D5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7FF19524" w14:textId="3867D4F3" w:rsidR="00BE5F73" w:rsidRPr="008F54CF" w:rsidRDefault="00BE5F73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Влияние на способность управлять транспортными средствами</w:t>
      </w:r>
    </w:p>
    <w:p w14:paraId="71F37724" w14:textId="77777777" w:rsidR="00BE5F73" w:rsidRPr="008F54CF" w:rsidRDefault="00BE5F73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может оказывать незначительное влияние на способность управлять транспортными средствами и работать с механизмами. У некоторых пациентов, принимающих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, сообщалось о головокружении, что следует учитывать при оценке способности пациента к вождению или работе с механизмами (см. раздел 4.8)</w:t>
      </w:r>
    </w:p>
    <w:p w14:paraId="5EE3673D" w14:textId="146494CD" w:rsidR="00BE5F73" w:rsidRPr="008F54CF" w:rsidRDefault="00BE5F73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71AD4719" w14:textId="77777777" w:rsidR="00BE5F73" w:rsidRPr="008F54CF" w:rsidRDefault="00BE5F73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59BB9E16" w14:textId="77777777" w:rsidR="00E4555D" w:rsidRPr="008F54CF" w:rsidRDefault="00E4555D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Рекомендации по применению</w:t>
      </w:r>
    </w:p>
    <w:p w14:paraId="005AD731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Лечение препаратом </w:t>
      </w:r>
      <w:r w:rsidRPr="008F54CF">
        <w:rPr>
          <w:color w:val="000000" w:themeColor="text1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должно начинаться и проводиться под наблюдением врача, имеющего опыт ведения пациентов с туберкулезом, вызванного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, </w:t>
      </w:r>
      <w:proofErr w:type="gramStart"/>
      <w:r w:rsidRPr="008F54CF">
        <w:rPr>
          <w:color w:val="000000" w:themeColor="text1"/>
          <w:sz w:val="24"/>
          <w:szCs w:val="24"/>
          <w:lang w:val="ru-RU" w:eastAsia="ru-RU"/>
        </w:rPr>
        <w:t>устойчивой</w:t>
      </w:r>
      <w:proofErr w:type="gramEnd"/>
      <w:r w:rsidRPr="008F54CF">
        <w:rPr>
          <w:color w:val="000000" w:themeColor="text1"/>
          <w:sz w:val="24"/>
          <w:szCs w:val="24"/>
          <w:lang w:val="ru-RU" w:eastAsia="ru-RU"/>
        </w:rPr>
        <w:t xml:space="preserve"> как минимум к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. </w:t>
      </w:r>
    </w:p>
    <w:p w14:paraId="37FE33B1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>При выборе соответствующей комбинированной схемы лечения следует учитывать рекомендации Всемирной организации здравоохранения (ВОЗ).</w:t>
      </w:r>
    </w:p>
    <w:p w14:paraId="2E11CC52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следует применять только в комбинации с другими лекарственными средствами, к которым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изолят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пациента продемонстрировал чувствительность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in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vitro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или к которым предполагается чувствительность. Следует обращаться к краткой характеристике лекарственного препарата (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SmPC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) лекарственных средств, применяемых в комбинации с </w:t>
      </w:r>
      <w:proofErr w:type="spellStart"/>
      <w:r w:rsidRPr="008F54CF">
        <w:rPr>
          <w:rStyle w:val="ad"/>
          <w:b w:val="0"/>
          <w:bCs w:val="0"/>
          <w:color w:val="000000" w:themeColor="text1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>, для получения их конкретных рекомендаций по дозированию.</w:t>
      </w:r>
    </w:p>
    <w:p w14:paraId="7BD81E6E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Рекомендуется, чтобы приём препарата </w:t>
      </w:r>
      <w:r w:rsidRPr="008F54CF">
        <w:rPr>
          <w:color w:val="000000" w:themeColor="text1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осуществлялся под непосредственным наблюдением медицинского работника (терапия под непосредственным наблюдением, DOT).</w:t>
      </w:r>
    </w:p>
    <w:p w14:paraId="6FE17D23" w14:textId="7991CAF4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  <w:r w:rsidRPr="008F54CF">
        <w:rPr>
          <w:rStyle w:val="ad"/>
          <w:color w:val="000000" w:themeColor="text1"/>
          <w:sz w:val="24"/>
          <w:szCs w:val="24"/>
          <w:lang w:val="ru-RU"/>
        </w:rPr>
        <w:t>Режим дозирования</w:t>
      </w:r>
    </w:p>
    <w:p w14:paraId="5770F640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  <w:t>Взрослые пациенты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Препарат </w:t>
      </w:r>
      <w:r w:rsidRPr="008F54CF">
        <w:rPr>
          <w:b/>
          <w:color w:val="000000" w:themeColor="text1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показан к применению в составе соответствующей комбинированной схемы лечения у взрослых и педиатрических пациентов (в возрасте от 2 лет до менее чем 18 лет и с массой тела не менее 7 кг) с </w:t>
      </w:r>
      <w:r w:rsidRPr="008F54CF">
        <w:rPr>
          <w:color w:val="000000" w:themeColor="text1"/>
          <w:sz w:val="24"/>
          <w:szCs w:val="24"/>
          <w:lang w:val="ru-RU" w:eastAsia="ru-RU"/>
        </w:rPr>
        <w:lastRenderedPageBreak/>
        <w:t xml:space="preserve">туберкулёзом лёгких, вызванным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Mycobacterium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 xml:space="preserve">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, устойчивой как минимум к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>.</w:t>
      </w:r>
    </w:p>
    <w:p w14:paraId="23A3D4B7" w14:textId="77777777" w:rsidR="00F9397A" w:rsidRPr="008F54CF" w:rsidRDefault="00F9397A" w:rsidP="007F61C7">
      <w:pPr>
        <w:widowControl/>
        <w:autoSpaceDE/>
        <w:autoSpaceDN/>
        <w:spacing w:before="100" w:beforeAutospacing="1" w:after="100" w:afterAutospacing="1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При применении препарата следует учитывать официальные рекомендации по рациональному использованию антибактериальных средств. </w:t>
      </w:r>
    </w:p>
    <w:p w14:paraId="68755849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bookmarkStart w:id="2" w:name="4.3_Contraindications"/>
      <w:bookmarkEnd w:id="2"/>
      <w:r w:rsidRPr="008F54CF">
        <w:rPr>
          <w:color w:val="000000" w:themeColor="text1"/>
          <w:sz w:val="24"/>
          <w:szCs w:val="24"/>
          <w:lang w:val="ru-RU" w:eastAsia="ru-RU"/>
        </w:rPr>
        <w:t xml:space="preserve">Рекомендуемая дозировка препарата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для взрослых пациентов (18 лет и старше) приведена в Таблице 1.</w:t>
      </w:r>
    </w:p>
    <w:tbl>
      <w:tblPr>
        <w:tblW w:w="9102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14"/>
        <w:gridCol w:w="3421"/>
        <w:gridCol w:w="2467"/>
      </w:tblGrid>
      <w:tr w:rsidR="008F54CF" w:rsidRPr="007F61C7" w14:paraId="4D448202" w14:textId="77777777" w:rsidTr="007F61C7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8C8DFF4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Таблица 1: Рекомендуемая дозировка </w:t>
            </w:r>
            <w:r w:rsidRPr="008F54CF">
              <w:rPr>
                <w:color w:val="000000" w:themeColor="text1"/>
                <w:sz w:val="24"/>
                <w:szCs w:val="24"/>
                <w:lang w:val="ru-RU"/>
              </w:rPr>
              <w:t>РЕСИЛИН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у взрослых пациентов</w:t>
            </w:r>
          </w:p>
        </w:tc>
      </w:tr>
      <w:tr w:rsidR="008F54CF" w:rsidRPr="008F54CF" w14:paraId="4460B874" w14:textId="77777777" w:rsidTr="007F61C7">
        <w:tc>
          <w:tcPr>
            <w:tcW w:w="176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83C75FE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3234" w:type="pct"/>
            <w:gridSpan w:val="2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287875D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Рекомендации по дозировке</w:t>
            </w:r>
          </w:p>
        </w:tc>
      </w:tr>
      <w:tr w:rsidR="008F54CF" w:rsidRPr="008F54CF" w14:paraId="10B1F295" w14:textId="77777777" w:rsidTr="007F61C7">
        <w:tc>
          <w:tcPr>
            <w:tcW w:w="176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D91006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8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CA179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1-2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9F8967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с 3 по 24</w:t>
            </w:r>
          </w:p>
        </w:tc>
      </w:tr>
      <w:tr w:rsidR="008F54CF" w:rsidRPr="007F61C7" w14:paraId="2585F911" w14:textId="77777777" w:rsidTr="007F61C7">
        <w:tc>
          <w:tcPr>
            <w:tcW w:w="176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B40850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Взрослые (18 лет и старше)</w:t>
            </w:r>
          </w:p>
        </w:tc>
        <w:tc>
          <w:tcPr>
            <w:tcW w:w="187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36AF91C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400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8790373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8F54CF" w:rsidRPr="007F61C7" w14:paraId="5DC3A627" w14:textId="77777777" w:rsidTr="007F61C7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FB0D40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а)</w:t>
            </w: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 Не менее 48 часов между приемами</w:t>
            </w:r>
          </w:p>
        </w:tc>
      </w:tr>
    </w:tbl>
    <w:p w14:paraId="35C9FF2F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составляет 24 недели.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следует принимать во время еды.</w:t>
      </w:r>
    </w:p>
    <w:p w14:paraId="214F7FD3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bCs/>
          <w:i/>
          <w:iCs/>
          <w:color w:val="000000" w:themeColor="text1"/>
          <w:sz w:val="24"/>
          <w:szCs w:val="24"/>
          <w:lang w:val="ru-RU" w:eastAsia="ru-RU"/>
        </w:rPr>
        <w:t>Педиатрические пациенты</w:t>
      </w:r>
    </w:p>
    <w:p w14:paraId="01E77BA7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Рекомендуемая дозировка препарата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для детей (от 2 до 18 лет) рассчитывается исходя из массы тела и представлена ​​в Таблице 2.</w:t>
      </w:r>
    </w:p>
    <w:tbl>
      <w:tblPr>
        <w:tblW w:w="9102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13"/>
        <w:gridCol w:w="3317"/>
        <w:gridCol w:w="2572"/>
      </w:tblGrid>
      <w:tr w:rsidR="008F54CF" w:rsidRPr="007F61C7" w14:paraId="3895DD46" w14:textId="77777777" w:rsidTr="007F61C7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7F5969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Таблица 2: Рекомендуемая дозировка препарата 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/>
              </w:rPr>
              <w:t>РЕСИЛИН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 xml:space="preserve"> для детей (от 2 до 18 лет)</w:t>
            </w:r>
          </w:p>
        </w:tc>
      </w:tr>
      <w:tr w:rsidR="008F54CF" w:rsidRPr="008F54CF" w14:paraId="714759D9" w14:textId="77777777" w:rsidTr="007F61C7">
        <w:tc>
          <w:tcPr>
            <w:tcW w:w="1765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856A5E3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Вес тела</w:t>
            </w:r>
          </w:p>
        </w:tc>
        <w:tc>
          <w:tcPr>
            <w:tcW w:w="3235" w:type="pct"/>
            <w:gridSpan w:val="2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F26DF0A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Рекомендации по дозировке</w:t>
            </w:r>
          </w:p>
        </w:tc>
      </w:tr>
      <w:tr w:rsidR="008F54CF" w:rsidRPr="008F54CF" w14:paraId="7BB47475" w14:textId="77777777" w:rsidTr="007F61C7">
        <w:tc>
          <w:tcPr>
            <w:tcW w:w="0" w:type="auto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594EC427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DC802C8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1-2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D1F7ABD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b/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Недели с 3 по 24</w:t>
            </w:r>
          </w:p>
        </w:tc>
      </w:tr>
      <w:tr w:rsidR="008F54CF" w:rsidRPr="007F61C7" w14:paraId="556459C0" w14:textId="77777777" w:rsidTr="007F61C7">
        <w:tc>
          <w:tcPr>
            <w:tcW w:w="1765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4E49780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Вес от 7 кг и менее 10 кг</w:t>
            </w: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6094F206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80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D15B8EE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40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8F54CF" w:rsidRPr="007F61C7" w14:paraId="3F2A0A04" w14:textId="77777777" w:rsidTr="007F61C7">
        <w:tc>
          <w:tcPr>
            <w:tcW w:w="1765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5D40C0C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Вес от 10 кг и более до 15 кг</w:t>
            </w: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32DECE0D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120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28938A36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60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8F54CF" w:rsidRPr="007F61C7" w14:paraId="7D7843B8" w14:textId="77777777" w:rsidTr="007F61C7">
        <w:tc>
          <w:tcPr>
            <w:tcW w:w="1765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ACF1178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Вес от 15 кг и менее 20 кг</w:t>
            </w: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4DE1684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160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7128B56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80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8F54CF" w:rsidRPr="007F61C7" w14:paraId="18DF9E7C" w14:textId="77777777" w:rsidTr="007F61C7">
        <w:tc>
          <w:tcPr>
            <w:tcW w:w="1765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9CAF61D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Вес от 20 кг и более до 30 кг</w:t>
            </w: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4A506B36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A2DC4B2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100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8F54CF" w:rsidRPr="007F61C7" w14:paraId="6CAAD502" w14:textId="77777777" w:rsidTr="007F61C7">
        <w:tc>
          <w:tcPr>
            <w:tcW w:w="1765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55CFA8E7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Более или равно 30 кг</w:t>
            </w:r>
          </w:p>
        </w:tc>
        <w:tc>
          <w:tcPr>
            <w:tcW w:w="1822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1A8F860E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400 мг внутрь </w:t>
            </w:r>
            <w:r w:rsidRPr="008F54CF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один раз в день</w:t>
            </w:r>
          </w:p>
        </w:tc>
        <w:tc>
          <w:tcPr>
            <w:tcW w:w="1413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0F167C4A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200 мг внутрь </w:t>
            </w:r>
            <w:r w:rsidRPr="008F54CF">
              <w:rPr>
                <w:b/>
                <w:color w:val="000000" w:themeColor="text1"/>
                <w:sz w:val="24"/>
                <w:szCs w:val="24"/>
                <w:lang w:val="ru-RU" w:eastAsia="ru-RU"/>
              </w:rPr>
              <w:t>три раза в неделю</w:t>
            </w:r>
          </w:p>
        </w:tc>
      </w:tr>
      <w:tr w:rsidR="00F9397A" w:rsidRPr="007F61C7" w14:paraId="41E95514" w14:textId="77777777" w:rsidTr="007F61C7">
        <w:tc>
          <w:tcPr>
            <w:tcW w:w="5000" w:type="pct"/>
            <w:gridSpan w:val="3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14:paraId="70BA9B6B" w14:textId="77777777" w:rsidR="00F9397A" w:rsidRPr="008F54CF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8F54CF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а)</w:t>
            </w:r>
            <w:r w:rsidRPr="008F54CF">
              <w:rPr>
                <w:color w:val="000000" w:themeColor="text1"/>
                <w:sz w:val="24"/>
                <w:szCs w:val="24"/>
                <w:lang w:val="ru-RU" w:eastAsia="ru-RU"/>
              </w:rPr>
              <w:t> Не менее 48 часов между приемами</w:t>
            </w:r>
          </w:p>
        </w:tc>
      </w:tr>
    </w:tbl>
    <w:p w14:paraId="2F71A7D3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</w:p>
    <w:p w14:paraId="36400F09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составляет 24 недели. </w:t>
      </w:r>
    </w:p>
    <w:p w14:paraId="528DADC0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следует принимать во время еды.</w:t>
      </w:r>
    </w:p>
    <w:p w14:paraId="204F84A8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Длительность лечения</w:t>
      </w:r>
    </w:p>
    <w:p w14:paraId="25A0D5B5" w14:textId="477B71EC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Общая продолжительность лечения препаратом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составляет 24 недели. Если лечение препаратом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необходимо продолжать более 24 недель, лечение может быть продолжено до 40 недель у взрослых в дозе 200 мг три раза в неделю.</w:t>
      </w:r>
    </w:p>
    <w:p w14:paraId="26334ED5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lastRenderedPageBreak/>
        <w:t>Пропущенные дозы</w:t>
      </w:r>
    </w:p>
    <w:p w14:paraId="1963FF33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Пациентам рекомендуется принимать препарат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строго по назначению врача и пройти полный курс лечения.</w:t>
      </w:r>
    </w:p>
    <w:p w14:paraId="2C41F563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Если пациент пропустил дозу в течение первых двух недель лечения, ему не следует восполнять пропущенную дозу, а следует продолжать принимать препарат по обычному графику. </w:t>
      </w:r>
    </w:p>
    <w:p w14:paraId="796F90BB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Если прием препарата пропущен начиная с третьей недели, пациенты должны принять пропущенную дозу как можно скорее, а затем возобновить прием три раза в неделю. </w:t>
      </w:r>
    </w:p>
    <w:p w14:paraId="481057DC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Общая доза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в течение 7 дней не должна превышать рекомендуемую недельную дозу (с интервалом не менее 24 часов между приемами). </w:t>
      </w:r>
    </w:p>
    <w:p w14:paraId="36076B90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Пожилое население</w:t>
      </w:r>
    </w:p>
    <w:p w14:paraId="55B64894" w14:textId="048BBABC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Имеются ограниченные клинические данные о применении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бедаквелина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у пожилых пациентов.</w:t>
      </w:r>
    </w:p>
    <w:p w14:paraId="4D0B4ABA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Нарушение функции печени</w:t>
      </w:r>
    </w:p>
    <w:p w14:paraId="453EB02A" w14:textId="7F47DE54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Коррекция дозы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не требуется у пациентов с легкой или умеренной печеночной недостаточностью. </w:t>
      </w:r>
    </w:p>
    <w:p w14:paraId="10F918FF" w14:textId="212DD828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следует применять с осторожностью у пациентов с умеренной печеночной недостаточностью. </w:t>
      </w:r>
    </w:p>
    <w:p w14:paraId="3F40AB07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не изучался у пациентов с тяжелой печеночной недостаточностью и не рекомендуется для этой группы пациентов.</w:t>
      </w:r>
    </w:p>
    <w:p w14:paraId="2EEE14D2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Почечная недостаточность</w:t>
      </w:r>
    </w:p>
    <w:p w14:paraId="7EA177A1" w14:textId="0F0EB856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Коррекция дозы не требуется у пациентов с легкой или умеренной почечной недостаточностью. У пациентов с тяжелой почечной недостаточностью (клиренс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креатинина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&lt; 30 мл/мин) или терминальной стадией почечной недостаточности, требующей гемодиализа или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перитонеального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диализа,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следует применять с осторожностью.</w:t>
      </w:r>
    </w:p>
    <w:p w14:paraId="1377564C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Дети</w:t>
      </w:r>
    </w:p>
    <w:p w14:paraId="6436705B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 xml:space="preserve">Безопасность и эффективность препарата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бедаквелина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у детей младше 2 лет или весом менее 7 кг еще не установлены.</w:t>
      </w:r>
    </w:p>
    <w:p w14:paraId="17814F98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r w:rsidRPr="008F54CF">
        <w:rPr>
          <w:color w:val="000000" w:themeColor="text1"/>
          <w:sz w:val="24"/>
          <w:szCs w:val="24"/>
          <w:lang w:val="ru-RU" w:eastAsia="ru-RU"/>
        </w:rPr>
        <w:t>Данные отсутствуют.</w:t>
      </w:r>
    </w:p>
    <w:p w14:paraId="56D72959" w14:textId="779FCC25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sz w:val="24"/>
          <w:szCs w:val="24"/>
          <w:lang w:val="ru-RU" w:eastAsia="ru-RU"/>
        </w:rPr>
      </w:pPr>
      <w:proofErr w:type="gramStart"/>
      <w:r w:rsidRPr="008F54CF">
        <w:rPr>
          <w:color w:val="000000" w:themeColor="text1"/>
          <w:sz w:val="24"/>
          <w:szCs w:val="24"/>
          <w:lang w:val="ru-RU" w:eastAsia="ru-RU"/>
        </w:rPr>
        <w:t xml:space="preserve">Препарат </w:t>
      </w:r>
      <w:r w:rsidRPr="008F54CF">
        <w:rPr>
          <w:color w:val="000000" w:themeColor="text1"/>
          <w:sz w:val="24"/>
          <w:szCs w:val="24"/>
          <w:lang w:val="ru-RU"/>
        </w:rPr>
        <w:t>РЕСИЛИН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 может быть включен в схему лечения детей в возрасте 2 лет и старше, весом не менее 7 кг, с подтвержденным или вероятным туберкулезом легких, вызванным </w:t>
      </w:r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 xml:space="preserve">M. </w:t>
      </w:r>
      <w:proofErr w:type="spellStart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tuberculosis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 w:eastAsia="ru-RU"/>
        </w:rPr>
        <w:t>,</w:t>
      </w:r>
      <w:r w:rsidRPr="008F54CF">
        <w:rPr>
          <w:color w:val="000000" w:themeColor="text1"/>
          <w:sz w:val="24"/>
          <w:szCs w:val="24"/>
          <w:lang w:val="ru-RU" w:eastAsia="ru-RU"/>
        </w:rPr>
        <w:t xml:space="preserve"> устойчивым как минимум к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рифампицину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sz w:val="24"/>
          <w:szCs w:val="24"/>
          <w:lang w:val="ru-RU" w:eastAsia="ru-RU"/>
        </w:rPr>
        <w:t>изониазиду</w:t>
      </w:r>
      <w:proofErr w:type="spellEnd"/>
      <w:r w:rsidRPr="008F54CF">
        <w:rPr>
          <w:color w:val="000000" w:themeColor="text1"/>
          <w:sz w:val="24"/>
          <w:szCs w:val="24"/>
          <w:lang w:val="ru-RU" w:eastAsia="ru-RU"/>
        </w:rPr>
        <w:t>, диагноз которого установлен на основании клинических признаков и симптомов туберкулеза легких, соответствующего эпидемиологического контекста и в соответствии с международными/местными рекомендациями.</w:t>
      </w:r>
      <w:proofErr w:type="gramEnd"/>
    </w:p>
    <w:p w14:paraId="6A96D96A" w14:textId="39F68AC5" w:rsidR="007F61C7" w:rsidRPr="00076F84" w:rsidRDefault="00076F84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076F84">
        <w:rPr>
          <w:rStyle w:val="ad"/>
          <w:i/>
          <w:iCs/>
          <w:color w:val="000000" w:themeColor="text1"/>
          <w:sz w:val="24"/>
          <w:szCs w:val="24"/>
          <w:lang w:val="ru-RU"/>
        </w:rPr>
        <w:t>Метод и путь введения</w:t>
      </w:r>
    </w:p>
    <w:p w14:paraId="6F6AFD9F" w14:textId="2F5F8643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Препарат РЕСИЛИН следует принимать во время еды, так как пища повышает его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биодоступность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(см. раздел 5.2). Таблетки препарата РЕСИЛИН следует проглатывать целиком, запивая водой, и принимать во время еды. </w:t>
      </w:r>
    </w:p>
    <w:p w14:paraId="7690AC1A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Для пациентов, которые не могут проглотить таблетку, или для детей с массой тела </w:t>
      </w:r>
      <w:r w:rsidRPr="008F54CF">
        <w:rPr>
          <w:color w:val="000000" w:themeColor="text1"/>
          <w:sz w:val="24"/>
          <w:szCs w:val="24"/>
          <w:lang w:val="ru-RU"/>
        </w:rPr>
        <w:lastRenderedPageBreak/>
        <w:t xml:space="preserve">менее 16 кг, таблетки можно измельчить и смешать с питьевой водой или мягкой пищей. </w:t>
      </w:r>
      <w:r w:rsidRPr="008F54CF">
        <w:rPr>
          <w:color w:val="000000" w:themeColor="text1"/>
          <w:sz w:val="24"/>
          <w:szCs w:val="24"/>
          <w:lang w:val="ru-RU"/>
        </w:rPr>
        <w:br/>
      </w:r>
    </w:p>
    <w:p w14:paraId="71A935C2" w14:textId="77777777" w:rsidR="00076F84" w:rsidRPr="00076F84" w:rsidRDefault="00F9397A" w:rsidP="007F61C7">
      <w:pPr>
        <w:jc w:val="both"/>
        <w:rPr>
          <w:b/>
          <w:color w:val="000000" w:themeColor="text1"/>
          <w:sz w:val="24"/>
          <w:szCs w:val="24"/>
          <w:lang w:val="ru-RU"/>
        </w:rPr>
      </w:pPr>
      <w:r w:rsidRPr="00076F84">
        <w:rPr>
          <w:i/>
          <w:color w:val="000000" w:themeColor="text1"/>
          <w:sz w:val="24"/>
          <w:szCs w:val="24"/>
          <w:lang w:val="ru-RU"/>
        </w:rPr>
        <w:t xml:space="preserve">Применение таблеток у пациентов, не способных проглатывать таблетки целиком </w:t>
      </w:r>
    </w:p>
    <w:p w14:paraId="27275EA7" w14:textId="03804F69" w:rsidR="00F9397A" w:rsidRPr="008F54CF" w:rsidRDefault="00F9397A" w:rsidP="007F61C7">
      <w:pPr>
        <w:jc w:val="both"/>
        <w:rPr>
          <w:b/>
          <w:color w:val="000000" w:themeColor="text1"/>
          <w:sz w:val="24"/>
          <w:szCs w:val="24"/>
          <w:lang w:val="ru-RU"/>
        </w:rPr>
      </w:pPr>
      <w:r w:rsidRPr="008F54CF">
        <w:rPr>
          <w:b/>
          <w:color w:val="000000" w:themeColor="text1"/>
          <w:sz w:val="24"/>
          <w:szCs w:val="24"/>
          <w:lang w:val="ru-RU"/>
        </w:rPr>
        <w:t xml:space="preserve">Диспергирование в воде и приём с напитком или мягкой пищей </w:t>
      </w:r>
    </w:p>
    <w:p w14:paraId="2C66F43A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Для пациентов, испытывающих трудности с проглатыванием целых таблеток, таблетку РЕСИЛИН можно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диспергировать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 воде перед приёмом вместе с пищей. Для облегчения приёма полученную водную дисперсию можно дополнительно смешать с напитком (например, водой, молочным продуктом, яблочным соком, апельсиновым соком, клюквенным соком или газированным напитком) или мягкой пищей (например, йогуртом, яблочным пюре, размятым бананом или кашей). </w:t>
      </w:r>
    </w:p>
    <w:p w14:paraId="04B41A75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0C67B5A0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color w:val="000000" w:themeColor="text1"/>
          <w:sz w:val="24"/>
          <w:szCs w:val="24"/>
          <w:lang w:val="ru-RU"/>
        </w:rPr>
        <w:t>Диспергировать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таблетку в воде (1 таблетка в 5 мл воды) в стакане для питья.</w:t>
      </w:r>
    </w:p>
    <w:p w14:paraId="01AF7AAB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Тщательно перемешать содержимое стакана до полного диспергирования таблетки, затем немедленно принять содержимое внутрь во время еды. </w:t>
      </w:r>
    </w:p>
    <w:p w14:paraId="4401A6CC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Для облегчения перорального приёма водную дисперсию можно дополнительно смешать как минимум с 5 мл напитка или с 1 чайной ложкой мягкой пищи и затем немедленно принять содержимое стакана внутрь.</w:t>
      </w:r>
    </w:p>
    <w:p w14:paraId="0E68AE31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Если для получения полной дозы требуется более 1 таблетки, повторить указанные выше этапы приготовления с каждой дополнительной одной таблеткой отдельно до достижения требуемой дозы.</w:t>
      </w:r>
    </w:p>
    <w:p w14:paraId="60EF3C41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Убедиться, что в стакане не осталось остатков таблеток; при необходимости ополоснуть стакан напитком или добавить ещё мягкой пищи и немедленно принять содержимое внутрь.</w:t>
      </w:r>
    </w:p>
    <w:p w14:paraId="54E77B21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4F6B81F2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Измельчение и смешивание с мягкой пищей</w:t>
      </w:r>
    </w:p>
    <w:p w14:paraId="6A64FC66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Таблетку РЕСИЛИН можно измельчить и непосредственно перед применением смешать с мягкой пищей (например, йогуртом, яблочным пюре, размятым бананом или кашей) и принять внутрь. Чтобы убедиться в отсутствии остатков таблетки в ёмкости, следует добавить дополнительное количество мягкой пищи и немедленно принять всё содержимое.</w:t>
      </w:r>
    </w:p>
    <w:p w14:paraId="5CF3F2E8" w14:textId="77777777" w:rsidR="00F9397A" w:rsidRPr="008F54CF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5130D031" w14:textId="2E1B00A1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Если подходящая форма для детей отсутствует</w:t>
      </w:r>
      <w:r w:rsidR="00863C3F" w:rsidRPr="008F54CF">
        <w:rPr>
          <w:color w:val="000000" w:themeColor="text1"/>
          <w:sz w:val="24"/>
          <w:szCs w:val="24"/>
          <w:lang w:val="ru-RU"/>
        </w:rPr>
        <w:t xml:space="preserve">, </w:t>
      </w:r>
      <w:r w:rsidRPr="008F54CF">
        <w:rPr>
          <w:color w:val="000000" w:themeColor="text1"/>
          <w:sz w:val="24"/>
          <w:szCs w:val="24"/>
          <w:lang w:val="ru-RU"/>
        </w:rPr>
        <w:t xml:space="preserve">для приготовления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экстемпоральной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 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 xml:space="preserve">( 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>т.е. свежеприготовленной) лекарственной формы</w:t>
      </w:r>
      <w:r w:rsidR="00863C3F" w:rsidRPr="008F54CF">
        <w:rPr>
          <w:color w:val="000000" w:themeColor="text1"/>
          <w:sz w:val="24"/>
          <w:szCs w:val="24"/>
          <w:lang w:val="ru-RU"/>
        </w:rPr>
        <w:t xml:space="preserve"> нужно:</w:t>
      </w:r>
    </w:p>
    <w:p w14:paraId="0337FF03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proofErr w:type="spellStart"/>
      <w:r w:rsidRPr="008F54CF">
        <w:rPr>
          <w:i/>
          <w:iCs/>
          <w:color w:val="000000" w:themeColor="text1"/>
          <w:sz w:val="24"/>
          <w:szCs w:val="24"/>
          <w:lang w:val="ru-RU"/>
        </w:rPr>
        <w:t>Экстемпоральная</w:t>
      </w:r>
      <w:proofErr w:type="spellEnd"/>
      <w:r w:rsidRPr="008F54CF">
        <w:rPr>
          <w:i/>
          <w:iCs/>
          <w:color w:val="000000" w:themeColor="text1"/>
          <w:sz w:val="24"/>
          <w:szCs w:val="24"/>
          <w:lang w:val="ru-RU"/>
        </w:rPr>
        <w:t xml:space="preserve"> форма для детей с массой тела менее 16 кг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br/>
      </w:r>
      <w:r w:rsidRPr="008F54CF">
        <w:rPr>
          <w:color w:val="000000" w:themeColor="text1"/>
          <w:sz w:val="24"/>
          <w:szCs w:val="24"/>
          <w:lang w:val="ru-RU"/>
        </w:rPr>
        <w:t xml:space="preserve">Если необходимая лекарственная форма недоступна, можно приготовить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экстемпоральную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форму, смешав одну таблетку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100 мг с 10 мл воды. Лицу, осуществляющему уход за ребёнком, следует  предоставить  инструкции по приготовлению смеси следующим образом:</w:t>
      </w:r>
    </w:p>
    <w:p w14:paraId="163EDACD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Для приготовления жидкой смеси для детей с массой тела менее 16 кг необходимо:</w:t>
      </w:r>
    </w:p>
    <w:p w14:paraId="045CB39C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- две небольшие чашки;</w:t>
      </w:r>
    </w:p>
    <w:p w14:paraId="73631693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- одна чайная ложка;</w:t>
      </w:r>
    </w:p>
    <w:p w14:paraId="3B65FA5E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- питьевая вода.</w:t>
      </w:r>
    </w:p>
    <w:p w14:paraId="5242B074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- оральный шприц объёмом 10 мл с делениями по 1,0 мл.</w:t>
      </w:r>
    </w:p>
    <w:p w14:paraId="637836D8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15DCDB1B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 Далее выполняются следующие шаги:</w:t>
      </w:r>
    </w:p>
    <w:p w14:paraId="54CE5E18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1. Растолочь одну таблетку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100 мг в первой чашке.</w:t>
      </w:r>
    </w:p>
    <w:p w14:paraId="0BFC9CE8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2. Отмерить 10 мл питьевой воды с помощью шприца и добавить в первую чашку.</w:t>
      </w:r>
    </w:p>
    <w:p w14:paraId="751C301E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3. Хорошо растолочь и перемешать до полного смешивания растолчённой таблетки, стараясь не пролить ни одной части смеси.</w:t>
      </w:r>
    </w:p>
    <w:p w14:paraId="556EE5CF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lastRenderedPageBreak/>
        <w:t>4. Найти массу тела и возраст ребёнка в приведённой выше таблице (первые два столбца).</w:t>
      </w:r>
    </w:p>
    <w:p w14:paraId="1A731A3B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5. Затем, в разделе «Какое количество смеси давать», определить правильную дозу для ребёнка.</w:t>
      </w:r>
    </w:p>
    <w:p w14:paraId="4CC20FB7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7. С помощью шприца набрать нужное количество жидкой смеси из первой чашки, убедившись, что в шприце нет пузырьков воздуха.</w:t>
      </w:r>
    </w:p>
    <w:p w14:paraId="4BE1C7DB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8. Перелить смесь во вторую чашку (или в бутылочку для младенца) и сразу дать ребёнку. Если во второй чашке что-то осталось, добавить небольшое количество воды, тщательно размешать, чтобы захватить оставшуюся часть смеси, и дать ребёнку выпить всё содержимое.  Можно использовать ложку (или бутылочку для младенца), чтобы ребёнок получил всю дозу препарата. Это необходимо, чтобы ребёнок получил полную дозу.</w:t>
      </w:r>
    </w:p>
    <w:p w14:paraId="2FBCF75F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9. После приёма препарата дать ребёнку что-нибудь попить.</w:t>
      </w:r>
    </w:p>
    <w:p w14:paraId="7F6AD70B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10. Выбросить оставшуюся жидкость из первой чашки.</w:t>
      </w:r>
    </w:p>
    <w:p w14:paraId="40C8B18A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6E4FCE60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Эти шаги следует повторять каждый раз при приготовлении дозы препарата.</w:t>
      </w:r>
    </w:p>
    <w:p w14:paraId="06AD3183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Неиспользованный препарат или отходы следует утилизировать в соответствии с местными требованиями.</w:t>
      </w:r>
    </w:p>
    <w:p w14:paraId="3D513326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0357696D" w14:textId="77777777" w:rsidR="00CC4DE9" w:rsidRPr="008F54CF" w:rsidRDefault="00CC4DE9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 xml:space="preserve">Меры, которые необходимо принять в случае передозировки </w:t>
      </w:r>
    </w:p>
    <w:p w14:paraId="0FD5A82C" w14:textId="7F874462" w:rsidR="00CC4DE9" w:rsidRPr="008F54CF" w:rsidRDefault="00CC4DE9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Передозировка</w:t>
      </w:r>
      <w:r w:rsidRPr="008F54CF">
        <w:rPr>
          <w:b/>
          <w:bCs/>
          <w:color w:val="000000" w:themeColor="text1"/>
          <w:sz w:val="24"/>
          <w:szCs w:val="24"/>
          <w:lang w:val="ru-RU"/>
        </w:rPr>
        <w:br/>
      </w:r>
      <w:r w:rsidRPr="008F54CF">
        <w:rPr>
          <w:color w:val="000000" w:themeColor="text1"/>
          <w:sz w:val="24"/>
          <w:szCs w:val="24"/>
          <w:lang w:val="ru-RU"/>
        </w:rPr>
        <w:t xml:space="preserve">Преднамеренная или случайная острая передозировка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не наблюдалась в ходе клинических исследований. В исследовании с участием 44 здоровых взрослых, получавших однократную дозу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800 мг, наблюдавшиеся нежелательные реакции соответствовали тем, которые отмечались в клинических исследованиях при применении рекомендованных доз.</w:t>
      </w:r>
    </w:p>
    <w:p w14:paraId="12A16539" w14:textId="77777777" w:rsidR="00CC4DE9" w:rsidRPr="008F54CF" w:rsidRDefault="00CC4DE9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Опыт лечения острой передозировки препаратом РЕСИЛИН отсутствует. При преднамеренной или случайной передозировке следует проводить общие поддерживающие мероприятия, направленные на поддержание жизненно важных функций, включая контроль жизненных показателей и  ЭКГ (интервал </w:t>
      </w:r>
      <w:r w:rsidRPr="008F54CF">
        <w:rPr>
          <w:color w:val="000000" w:themeColor="text1"/>
          <w:sz w:val="24"/>
          <w:szCs w:val="24"/>
        </w:rPr>
        <w:t>QT</w:t>
      </w:r>
      <w:r w:rsidRPr="008F54CF">
        <w:rPr>
          <w:color w:val="000000" w:themeColor="text1"/>
          <w:sz w:val="24"/>
          <w:szCs w:val="24"/>
          <w:lang w:val="ru-RU"/>
        </w:rPr>
        <w:t>). Дальнейшее лечение должно проводиться в соответствии с клиническими показаниями или рекомендациями национального токсикологического центра (при его наличии).</w:t>
      </w:r>
    </w:p>
    <w:p w14:paraId="54B4E8E3" w14:textId="77777777" w:rsidR="00CC4DE9" w:rsidRPr="008F54CF" w:rsidRDefault="00CC4DE9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Поскольку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в значительной степени связывается с белками плазмы, проведение диализа, вероятно, не приведёт к существенному выведению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из плазмы крови.</w:t>
      </w:r>
    </w:p>
    <w:p w14:paraId="4A221940" w14:textId="77777777" w:rsidR="00CC4DE9" w:rsidRPr="008F54CF" w:rsidRDefault="00CC4DE9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16216AA5" w14:textId="77777777" w:rsidR="007F61C7" w:rsidRDefault="00CC4DE9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t xml:space="preserve">Меры, необходимые при пропуске одной или нескольких доз лекарственного препарата </w:t>
      </w:r>
      <w:r w:rsidR="00E4555D"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t>Пропущенные дозы</w:t>
      </w:r>
    </w:p>
    <w:p w14:paraId="665C374E" w14:textId="2B6F5EDC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Если пациент пропустил приём дозы препарата РЕСИЛИН </w:t>
      </w:r>
      <w:r w:rsidRPr="008F54CF">
        <w:rPr>
          <w:b/>
          <w:bCs/>
          <w:color w:val="000000" w:themeColor="text1"/>
          <w:sz w:val="24"/>
          <w:szCs w:val="24"/>
          <w:lang w:val="ru-RU"/>
        </w:rPr>
        <w:t>при ежедневном</w:t>
      </w:r>
      <w:r w:rsidRPr="008F54CF">
        <w:rPr>
          <w:color w:val="000000" w:themeColor="text1"/>
          <w:sz w:val="24"/>
          <w:szCs w:val="24"/>
          <w:lang w:val="ru-RU"/>
        </w:rPr>
        <w:t xml:space="preserve"> приёме, он должен пропустить пропущенную дозу и принять следующую дозу в обычное время, продолжая установленный режим дозирования.</w:t>
      </w:r>
    </w:p>
    <w:p w14:paraId="7AC2A218" w14:textId="77777777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Если пациент пропустил приём дозы препарата РЕСИЛИН при режиме приёма </w:t>
      </w:r>
      <w:r w:rsidRPr="008F54CF">
        <w:rPr>
          <w:b/>
          <w:bCs/>
          <w:color w:val="000000" w:themeColor="text1"/>
          <w:sz w:val="24"/>
          <w:szCs w:val="24"/>
          <w:lang w:val="ru-RU"/>
        </w:rPr>
        <w:t>3 дня  каждой недели</w:t>
      </w:r>
      <w:r w:rsidRPr="008F54CF">
        <w:rPr>
          <w:color w:val="000000" w:themeColor="text1"/>
          <w:sz w:val="24"/>
          <w:szCs w:val="24"/>
          <w:lang w:val="ru-RU"/>
        </w:rPr>
        <w:t>, и с момента последнего приёма прошло менее 48 часов, пациент должен принять дозу как можно скорее, затем принять следующую дозу через 48 часов и далее продолжить обычный режим дозирования.</w:t>
      </w:r>
    </w:p>
    <w:p w14:paraId="17D16F1A" w14:textId="77777777" w:rsidR="00E4555D" w:rsidRPr="008F54CF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079D1B83" w14:textId="77777777" w:rsidR="007F61C7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t>Пожилые пациенты</w:t>
      </w:r>
    </w:p>
    <w:p w14:paraId="4198D833" w14:textId="31351861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Имеются ограниченные клинические данные по применению препарата РЕСИЛИН у пожилых пациентов (см. раздел 5.2).</w:t>
      </w:r>
    </w:p>
    <w:p w14:paraId="1FAAEC07" w14:textId="77777777" w:rsidR="00E4555D" w:rsidRPr="008F54CF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5CF50605" w14:textId="77777777" w:rsidR="007F61C7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lastRenderedPageBreak/>
        <w:t>Младенцы и дети младшего возраста</w:t>
      </w:r>
    </w:p>
    <w:p w14:paraId="7B2D97AA" w14:textId="53E6584D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Безопасность и эффективность препарата РЕСИЛИН у детей в возрасте до 14 лет для 6-месячных  режимах лечения не установлены.</w:t>
      </w:r>
    </w:p>
    <w:p w14:paraId="1F204DC5" w14:textId="77777777" w:rsidR="00E4555D" w:rsidRPr="008F54CF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46D65A03" w14:textId="77777777" w:rsidR="007F61C7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t>Нарушение функции печени</w:t>
      </w:r>
    </w:p>
    <w:p w14:paraId="35543F88" w14:textId="6F8145CF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Коррекция дозы препарата РЕСИЛИН не требуется у пациентов с лёгкой или умеренной степенью нарушения функции печени (см. раздел 5.2). Препарат РЕСИЛИН следует применять с осторожностью у пациентов с умеренным нарушением функции печени (см. раздел 5.2). Препарат РЕСИЛИН не изучался у пациентов с тяжёлым нарушением функции печени и не рекомендуется для применения у этой категории пациентов.</w:t>
      </w:r>
    </w:p>
    <w:p w14:paraId="7C160A63" w14:textId="77777777" w:rsidR="00E4555D" w:rsidRPr="008F54CF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4D6001CC" w14:textId="77777777" w:rsidR="007F61C7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</w:rPr>
      </w:pPr>
      <w:r w:rsidRPr="008F54CF">
        <w:rPr>
          <w:rStyle w:val="ad"/>
          <w:i/>
          <w:iCs/>
          <w:color w:val="000000" w:themeColor="text1"/>
          <w:sz w:val="24"/>
          <w:szCs w:val="24"/>
          <w:lang w:val="ru-RU"/>
        </w:rPr>
        <w:t>Нарушение функции почек</w:t>
      </w:r>
    </w:p>
    <w:p w14:paraId="74996AD4" w14:textId="4B056ED0" w:rsidR="00E4555D" w:rsidRPr="008F54CF" w:rsidRDefault="00E4555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Коррекция дозы не требуется у пациентов с лёгкой или умеренной степенью нарушения функции почек. У пациентов с тяжёлым нарушением функции почек (клиренс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креатинина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менее 30 мл/мин) или терминальной стадией почечной недостаточности, требующей проведения гемодиализа или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перитонеального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диализа, препарат РЕСИЛИН следует применять с осторожностью (см. раздел 5.2).</w:t>
      </w:r>
    </w:p>
    <w:p w14:paraId="3CA43263" w14:textId="77777777" w:rsidR="00E4555D" w:rsidRPr="008F54CF" w:rsidRDefault="00E4555D" w:rsidP="007F61C7">
      <w:pPr>
        <w:jc w:val="both"/>
        <w:rPr>
          <w:rStyle w:val="ad"/>
          <w:i/>
          <w:iCs/>
          <w:color w:val="000000" w:themeColor="text1"/>
          <w:sz w:val="24"/>
          <w:szCs w:val="24"/>
          <w:lang w:val="ru-RU"/>
        </w:rPr>
      </w:pPr>
    </w:p>
    <w:p w14:paraId="6A7871DF" w14:textId="63BC7D12" w:rsidR="00CC4DE9" w:rsidRPr="008F54CF" w:rsidRDefault="007B417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Описание нежелательных реакций, которые проявляются при</w:t>
      </w:r>
      <w:r w:rsidR="00076F84"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b/>
          <w:bCs/>
          <w:color w:val="000000" w:themeColor="text1"/>
          <w:sz w:val="24"/>
          <w:szCs w:val="24"/>
          <w:lang w:val="ru-RU"/>
        </w:rPr>
        <w:t>стандартном применении ЛП и меры, которые следует принять в этом</w:t>
      </w:r>
      <w:r w:rsidR="00076F84">
        <w:rPr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b/>
          <w:bCs/>
          <w:color w:val="000000" w:themeColor="text1"/>
          <w:sz w:val="24"/>
          <w:szCs w:val="24"/>
          <w:lang w:val="ru-RU"/>
        </w:rPr>
        <w:t>случае</w:t>
      </w:r>
      <w:r w:rsidR="00076F84">
        <w:rPr>
          <w:b/>
          <w:bCs/>
          <w:color w:val="000000" w:themeColor="text1"/>
          <w:sz w:val="24"/>
          <w:szCs w:val="24"/>
          <w:lang w:val="ru-RU"/>
        </w:rPr>
        <w:t>.</w:t>
      </w:r>
      <w:r w:rsidR="00CC4DE9" w:rsidRPr="008F54CF">
        <w:rPr>
          <w:color w:val="000000" w:themeColor="text1"/>
          <w:sz w:val="24"/>
          <w:szCs w:val="24"/>
          <w:lang w:val="ru-RU"/>
        </w:rPr>
        <w:br/>
        <w:t xml:space="preserve">Наиболее частыми нежелательными реакциями (отмечавшимися </w:t>
      </w:r>
      <w:proofErr w:type="gramStart"/>
      <w:r w:rsidR="00CC4DE9" w:rsidRPr="008F54CF">
        <w:rPr>
          <w:color w:val="000000" w:themeColor="text1"/>
          <w:sz w:val="24"/>
          <w:szCs w:val="24"/>
          <w:lang w:val="ru-RU"/>
        </w:rPr>
        <w:t>у</w:t>
      </w:r>
      <w:proofErr w:type="gramEnd"/>
      <w:r w:rsidR="00CC4DE9" w:rsidRPr="008F54CF">
        <w:rPr>
          <w:color w:val="000000" w:themeColor="text1"/>
          <w:sz w:val="24"/>
          <w:szCs w:val="24"/>
          <w:lang w:val="ru-RU"/>
        </w:rPr>
        <w:t xml:space="preserve"> более </w:t>
      </w:r>
      <w:proofErr w:type="gramStart"/>
      <w:r w:rsidR="00CC4DE9" w:rsidRPr="008F54CF">
        <w:rPr>
          <w:color w:val="000000" w:themeColor="text1"/>
          <w:sz w:val="24"/>
          <w:szCs w:val="24"/>
          <w:lang w:val="ru-RU"/>
        </w:rPr>
        <w:t>чем</w:t>
      </w:r>
      <w:proofErr w:type="gramEnd"/>
      <w:r w:rsidR="00CC4DE9" w:rsidRPr="008F54CF">
        <w:rPr>
          <w:color w:val="000000" w:themeColor="text1"/>
          <w:sz w:val="24"/>
          <w:szCs w:val="24"/>
          <w:lang w:val="ru-RU"/>
        </w:rPr>
        <w:t xml:space="preserve"> 10% пациентов) во время лечения </w:t>
      </w:r>
      <w:proofErr w:type="spellStart"/>
      <w:r w:rsidR="00CC4DE9" w:rsidRPr="008F54CF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="00CC4DE9" w:rsidRPr="008F54CF">
        <w:rPr>
          <w:color w:val="000000" w:themeColor="text1"/>
          <w:sz w:val="24"/>
          <w:szCs w:val="24"/>
          <w:lang w:val="ru-RU"/>
        </w:rPr>
        <w:t xml:space="preserve"> были: удлинение интервала </w:t>
      </w:r>
      <w:r w:rsidR="00CC4DE9" w:rsidRPr="008F54CF">
        <w:rPr>
          <w:color w:val="000000" w:themeColor="text1"/>
          <w:sz w:val="24"/>
          <w:szCs w:val="24"/>
        </w:rPr>
        <w:t>QT</w:t>
      </w:r>
      <w:r w:rsidR="00CC4DE9" w:rsidRPr="008F54CF">
        <w:rPr>
          <w:color w:val="000000" w:themeColor="text1"/>
          <w:sz w:val="24"/>
          <w:szCs w:val="24"/>
          <w:lang w:val="ru-RU"/>
        </w:rPr>
        <w:t xml:space="preserve"> (61%), тошнота (54%), рвота (54%), артралгия (45%), повышение уровня печёночных ферментов (30%), головокружение (18%) и головная боль (17%).</w:t>
      </w:r>
    </w:p>
    <w:p w14:paraId="29B5597F" w14:textId="77777777" w:rsidR="00CC4DE9" w:rsidRPr="008F54CF" w:rsidRDefault="00CC4DE9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</w:p>
    <w:p w14:paraId="4464BBC9" w14:textId="77777777" w:rsidR="00F9397A" w:rsidRPr="00076F84" w:rsidRDefault="00F9397A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076F84">
        <w:rPr>
          <w:b/>
          <w:bCs/>
          <w:color w:val="000000" w:themeColor="text1"/>
          <w:sz w:val="24"/>
          <w:szCs w:val="24"/>
          <w:lang w:val="ru-RU"/>
        </w:rPr>
        <w:t>Табличный перечень нежелательных реакций</w:t>
      </w:r>
    </w:p>
    <w:p w14:paraId="6784E04A" w14:textId="744CC210" w:rsidR="00F9397A" w:rsidRPr="00076F84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076F84">
        <w:rPr>
          <w:color w:val="000000" w:themeColor="text1"/>
          <w:sz w:val="24"/>
          <w:szCs w:val="24"/>
          <w:lang w:val="ru-RU"/>
        </w:rPr>
        <w:t xml:space="preserve">Нежелательные реакции на препарат РЕСИЛИН приведены ниже по системно-органным классам (СОК) и частоте встречаемости. Категории частоты определены следующим образом: очень часто (не менее чем у 1 из 10 пациентов), часто (от 1 из 100 до 1 </w:t>
      </w:r>
      <w:proofErr w:type="gramStart"/>
      <w:r w:rsidRPr="00076F84">
        <w:rPr>
          <w:color w:val="000000" w:themeColor="text1"/>
          <w:sz w:val="24"/>
          <w:szCs w:val="24"/>
          <w:lang w:val="ru-RU"/>
        </w:rPr>
        <w:t>из</w:t>
      </w:r>
      <w:proofErr w:type="gramEnd"/>
      <w:r w:rsidRPr="00076F84">
        <w:rPr>
          <w:color w:val="000000" w:themeColor="text1"/>
          <w:sz w:val="24"/>
          <w:szCs w:val="24"/>
          <w:lang w:val="ru-RU"/>
        </w:rPr>
        <w:t xml:space="preserve"> 10) и нечасто (от 1 из 1000 до 1 из 100).</w:t>
      </w:r>
    </w:p>
    <w:p w14:paraId="6F9D61A7" w14:textId="77777777" w:rsidR="00F9397A" w:rsidRPr="008F54CF" w:rsidRDefault="00F9397A" w:rsidP="007F61C7">
      <w:pPr>
        <w:jc w:val="both"/>
        <w:rPr>
          <w:b/>
          <w:bCs/>
          <w:color w:val="000000" w:themeColor="text1"/>
          <w:sz w:val="20"/>
          <w:szCs w:val="20"/>
          <w:lang w:val="ru-RU"/>
        </w:rPr>
      </w:pPr>
    </w:p>
    <w:tbl>
      <w:tblPr>
        <w:tblW w:w="8961" w:type="dxa"/>
        <w:tblBorders>
          <w:top w:val="outset" w:sz="6" w:space="0" w:color="606060"/>
          <w:left w:val="outset" w:sz="6" w:space="0" w:color="606060"/>
          <w:bottom w:val="outset" w:sz="6" w:space="0" w:color="606060"/>
          <w:right w:val="outset" w:sz="6" w:space="0" w:color="606060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4103"/>
        <w:gridCol w:w="2428"/>
        <w:gridCol w:w="2430"/>
      </w:tblGrid>
      <w:tr w:rsidR="008F54CF" w:rsidRPr="008F54CF" w14:paraId="30DBC621" w14:textId="77777777" w:rsidTr="007F61C7">
        <w:tc>
          <w:tcPr>
            <w:tcW w:w="228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3B83DA8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Класс систем органов (SOC)</w:t>
            </w: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E21FE6B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Частотная категория </w:t>
            </w:r>
            <w:r w:rsidRPr="00076F84">
              <w:rPr>
                <w:b/>
                <w:bCs/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a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092A250B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Нежелательные реакции</w:t>
            </w:r>
          </w:p>
        </w:tc>
      </w:tr>
      <w:tr w:rsidR="008F54CF" w:rsidRPr="008F54CF" w14:paraId="556D5EF3" w14:textId="77777777" w:rsidTr="007F61C7">
        <w:tc>
          <w:tcPr>
            <w:tcW w:w="228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7A4C9D20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Расстройства нервной системы</w:t>
            </w: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834DD38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F178C47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Головная боль, головокружение</w:t>
            </w:r>
          </w:p>
        </w:tc>
      </w:tr>
      <w:tr w:rsidR="008F54CF" w:rsidRPr="008F54CF" w14:paraId="69866527" w14:textId="77777777" w:rsidTr="007F61C7">
        <w:tc>
          <w:tcPr>
            <w:tcW w:w="2289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FE08457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Желудочно-кишечные расстройства</w:t>
            </w: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41E54E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206CA29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Тошнота, рвота</w:t>
            </w:r>
          </w:p>
        </w:tc>
      </w:tr>
      <w:tr w:rsidR="008F54CF" w:rsidRPr="008F54CF" w14:paraId="74868EF3" w14:textId="77777777" w:rsidTr="007F61C7">
        <w:tc>
          <w:tcPr>
            <w:tcW w:w="2289" w:type="pct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63E37656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83FB409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Часто 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EEA7B3D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Диарея</w:t>
            </w:r>
          </w:p>
        </w:tc>
      </w:tr>
      <w:tr w:rsidR="008F54CF" w:rsidRPr="007F61C7" w14:paraId="1E379AA0" w14:textId="77777777" w:rsidTr="007F61C7">
        <w:tc>
          <w:tcPr>
            <w:tcW w:w="228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926FE88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Заболевания печени и желчевыводящих путей</w:t>
            </w: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7FF83CC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06FDB29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Уровень </w:t>
            </w:r>
            <w:proofErr w:type="spellStart"/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трансаминаз</w:t>
            </w:r>
            <w:proofErr w:type="spellEnd"/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 xml:space="preserve"> повысился </w:t>
            </w:r>
            <w:proofErr w:type="spellStart"/>
            <w:r w:rsidRPr="00076F84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b,c</w:t>
            </w:r>
            <w:proofErr w:type="spellEnd"/>
          </w:p>
        </w:tc>
      </w:tr>
      <w:tr w:rsidR="008F54CF" w:rsidRPr="008F54CF" w14:paraId="4F465CA6" w14:textId="77777777" w:rsidTr="007F61C7">
        <w:tc>
          <w:tcPr>
            <w:tcW w:w="2289" w:type="pct"/>
            <w:vMerge w:val="restar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633A0B9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 w:eastAsia="ru-RU"/>
              </w:rPr>
              <w:t>Заболевания опорно-двигательного аппарата и соединительной ткани</w:t>
            </w: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15A9C6AE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2D37C326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Артралгия</w:t>
            </w:r>
          </w:p>
        </w:tc>
      </w:tr>
      <w:tr w:rsidR="008F54CF" w:rsidRPr="008F54CF" w14:paraId="3757ECE3" w14:textId="77777777" w:rsidTr="007F61C7">
        <w:tc>
          <w:tcPr>
            <w:tcW w:w="2289" w:type="pct"/>
            <w:vMerge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hideMark/>
          </w:tcPr>
          <w:p w14:paraId="595D2FF5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705BA2B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61C4009A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Миалгия</w:t>
            </w:r>
          </w:p>
        </w:tc>
      </w:tr>
      <w:tr w:rsidR="008F54CF" w:rsidRPr="008F54CF" w14:paraId="6F359135" w14:textId="77777777" w:rsidTr="007F61C7">
        <w:tc>
          <w:tcPr>
            <w:tcW w:w="2289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43278B3E" w14:textId="77777777" w:rsidR="00F9397A" w:rsidRPr="00076F84" w:rsidRDefault="00F9397A" w:rsidP="007F61C7">
            <w:pPr>
              <w:jc w:val="both"/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</w:pPr>
            <w:r w:rsidRPr="00076F84">
              <w:rPr>
                <w:b/>
                <w:bCs/>
                <w:color w:val="000000" w:themeColor="text1"/>
                <w:sz w:val="24"/>
                <w:szCs w:val="24"/>
                <w:lang w:val="ru-RU"/>
              </w:rPr>
              <w:t>Нарушение   со стороны сердца</w:t>
            </w:r>
          </w:p>
          <w:p w14:paraId="5F15AE00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</w:p>
        </w:tc>
        <w:tc>
          <w:tcPr>
            <w:tcW w:w="1354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DC12617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Очень часто</w:t>
            </w:r>
          </w:p>
        </w:tc>
        <w:tc>
          <w:tcPr>
            <w:tcW w:w="1356" w:type="pct"/>
            <w:tcBorders>
              <w:top w:val="outset" w:sz="6" w:space="0" w:color="606060"/>
              <w:left w:val="outset" w:sz="6" w:space="0" w:color="606060"/>
              <w:bottom w:val="outset" w:sz="6" w:space="0" w:color="606060"/>
              <w:right w:val="outset" w:sz="6" w:space="0" w:color="606060"/>
            </w:tcBorders>
            <w:shd w:val="clear" w:color="auto" w:fill="auto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14:paraId="55DF365E" w14:textId="77777777" w:rsidR="00F9397A" w:rsidRPr="00076F84" w:rsidRDefault="00F9397A" w:rsidP="007F61C7">
            <w:pPr>
              <w:widowControl/>
              <w:autoSpaceDE/>
              <w:autoSpaceDN/>
              <w:jc w:val="both"/>
              <w:rPr>
                <w:color w:val="000000" w:themeColor="text1"/>
                <w:sz w:val="24"/>
                <w:szCs w:val="24"/>
                <w:lang w:val="ru-RU" w:eastAsia="ru-RU"/>
              </w:rPr>
            </w:pPr>
            <w:r w:rsidRPr="00076F84">
              <w:rPr>
                <w:color w:val="000000" w:themeColor="text1"/>
                <w:sz w:val="24"/>
                <w:szCs w:val="24"/>
                <w:lang w:val="ru-RU" w:eastAsia="ru-RU"/>
              </w:rPr>
              <w:t>Электрокардиограмма: удлинение интервала QT </w:t>
            </w:r>
            <w:r w:rsidRPr="00076F84">
              <w:rPr>
                <w:color w:val="000000" w:themeColor="text1"/>
                <w:sz w:val="24"/>
                <w:szCs w:val="24"/>
                <w:vertAlign w:val="superscript"/>
                <w:lang w:val="ru-RU" w:eastAsia="ru-RU"/>
              </w:rPr>
              <w:t>.</w:t>
            </w:r>
          </w:p>
        </w:tc>
      </w:tr>
    </w:tbl>
    <w:p w14:paraId="75108F05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lang w:val="ru-RU" w:eastAsia="ru-RU"/>
        </w:rPr>
      </w:pPr>
      <w:r w:rsidRPr="008F54CF">
        <w:rPr>
          <w:color w:val="000000" w:themeColor="text1"/>
          <w:vertAlign w:val="superscript"/>
          <w:lang w:val="ru-RU" w:eastAsia="ru-RU"/>
        </w:rPr>
        <w:t xml:space="preserve">a. </w:t>
      </w:r>
      <w:r w:rsidRPr="008F54CF">
        <w:rPr>
          <w:color w:val="000000" w:themeColor="text1"/>
          <w:lang w:val="ru-RU" w:eastAsia="ru-RU"/>
        </w:rPr>
        <w:t xml:space="preserve">Частота, </w:t>
      </w:r>
      <w:proofErr w:type="spellStart"/>
      <w:r w:rsidRPr="008F54CF">
        <w:rPr>
          <w:color w:val="000000" w:themeColor="text1"/>
          <w:lang w:val="ru-RU" w:eastAsia="ru-RU"/>
        </w:rPr>
        <w:t>полученна</w:t>
      </w:r>
      <w:proofErr w:type="spellEnd"/>
      <w:r w:rsidRPr="008F54CF">
        <w:rPr>
          <w:color w:val="000000" w:themeColor="text1"/>
          <w:lang w:val="ru-RU" w:eastAsia="ru-RU"/>
        </w:rPr>
        <w:t xml:space="preserve"> в ходе III фазы клинических испытаний: 40-недельное пероральное лечение препаратами </w:t>
      </w:r>
      <w:proofErr w:type="spellStart"/>
      <w:r w:rsidRPr="008F54CF">
        <w:rPr>
          <w:color w:val="000000" w:themeColor="text1"/>
          <w:lang w:val="ru-RU" w:eastAsia="ru-RU"/>
        </w:rPr>
        <w:t>бедаквелин</w:t>
      </w:r>
      <w:proofErr w:type="spellEnd"/>
      <w:r w:rsidRPr="008F54CF">
        <w:rPr>
          <w:color w:val="000000" w:themeColor="text1"/>
          <w:lang w:val="ru-RU" w:eastAsia="ru-RU"/>
        </w:rPr>
        <w:t xml:space="preserve">, </w:t>
      </w:r>
      <w:proofErr w:type="spellStart"/>
      <w:r w:rsidRPr="008F54CF">
        <w:rPr>
          <w:color w:val="000000" w:themeColor="text1"/>
          <w:lang w:val="ru-RU" w:eastAsia="ru-RU"/>
        </w:rPr>
        <w:t>левофлоксацин</w:t>
      </w:r>
      <w:proofErr w:type="spellEnd"/>
      <w:r w:rsidRPr="008F54CF">
        <w:rPr>
          <w:color w:val="000000" w:themeColor="text1"/>
          <w:lang w:val="ru-RU" w:eastAsia="ru-RU"/>
        </w:rPr>
        <w:t xml:space="preserve">, </w:t>
      </w:r>
      <w:proofErr w:type="spellStart"/>
      <w:r w:rsidRPr="008F54CF">
        <w:rPr>
          <w:color w:val="000000" w:themeColor="text1"/>
          <w:lang w:val="ru-RU" w:eastAsia="ru-RU"/>
        </w:rPr>
        <w:t>клофазимин</w:t>
      </w:r>
      <w:proofErr w:type="spellEnd"/>
      <w:r w:rsidRPr="008F54CF">
        <w:rPr>
          <w:color w:val="000000" w:themeColor="text1"/>
          <w:lang w:val="ru-RU" w:eastAsia="ru-RU"/>
        </w:rPr>
        <w:t xml:space="preserve">, </w:t>
      </w:r>
      <w:proofErr w:type="spellStart"/>
      <w:r w:rsidRPr="008F54CF">
        <w:rPr>
          <w:color w:val="000000" w:themeColor="text1"/>
          <w:lang w:val="ru-RU" w:eastAsia="ru-RU"/>
        </w:rPr>
        <w:t>этамбутол</w:t>
      </w:r>
      <w:proofErr w:type="spellEnd"/>
      <w:r w:rsidRPr="008F54CF">
        <w:rPr>
          <w:color w:val="000000" w:themeColor="text1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lang w:val="ru-RU" w:eastAsia="ru-RU"/>
        </w:rPr>
        <w:t>пиразинамид</w:t>
      </w:r>
      <w:proofErr w:type="spellEnd"/>
      <w:r w:rsidRPr="008F54CF">
        <w:rPr>
          <w:color w:val="000000" w:themeColor="text1"/>
          <w:lang w:val="ru-RU" w:eastAsia="ru-RU"/>
        </w:rPr>
        <w:t xml:space="preserve">, </w:t>
      </w:r>
      <w:r w:rsidRPr="008F54CF">
        <w:rPr>
          <w:color w:val="000000" w:themeColor="text1"/>
          <w:lang w:val="ru-RU" w:eastAsia="ru-RU"/>
        </w:rPr>
        <w:lastRenderedPageBreak/>
        <w:t xml:space="preserve">дополненное высокими дозами </w:t>
      </w:r>
      <w:proofErr w:type="spellStart"/>
      <w:r w:rsidRPr="008F54CF">
        <w:rPr>
          <w:color w:val="000000" w:themeColor="text1"/>
          <w:lang w:val="ru-RU" w:eastAsia="ru-RU"/>
        </w:rPr>
        <w:t>изониазида</w:t>
      </w:r>
      <w:proofErr w:type="spellEnd"/>
      <w:r w:rsidRPr="008F54CF">
        <w:rPr>
          <w:color w:val="000000" w:themeColor="text1"/>
          <w:lang w:val="ru-RU" w:eastAsia="ru-RU"/>
        </w:rPr>
        <w:t xml:space="preserve"> и </w:t>
      </w:r>
      <w:proofErr w:type="spellStart"/>
      <w:r w:rsidRPr="008F54CF">
        <w:rPr>
          <w:color w:val="000000" w:themeColor="text1"/>
          <w:lang w:val="ru-RU" w:eastAsia="ru-RU"/>
        </w:rPr>
        <w:t>протионамида</w:t>
      </w:r>
      <w:proofErr w:type="spellEnd"/>
      <w:r w:rsidRPr="008F54CF">
        <w:rPr>
          <w:color w:val="000000" w:themeColor="text1"/>
          <w:lang w:val="ru-RU" w:eastAsia="ru-RU"/>
        </w:rPr>
        <w:t xml:space="preserve"> в течение первых 16 недель (интенсивная фаза).</w:t>
      </w:r>
    </w:p>
    <w:p w14:paraId="174B9AE5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lang w:val="ru-RU" w:eastAsia="ru-RU"/>
        </w:rPr>
      </w:pPr>
      <w:r w:rsidRPr="008F54CF">
        <w:rPr>
          <w:color w:val="000000" w:themeColor="text1"/>
          <w:vertAlign w:val="superscript"/>
          <w:lang w:val="ru-RU" w:eastAsia="ru-RU"/>
        </w:rPr>
        <w:t>b.</w:t>
      </w:r>
      <w:r w:rsidRPr="008F54CF">
        <w:rPr>
          <w:color w:val="000000" w:themeColor="text1"/>
          <w:lang w:val="ru-RU" w:eastAsia="ru-RU"/>
        </w:rPr>
        <w:t xml:space="preserve"> Термины, обозначенные как «повышение уровня </w:t>
      </w:r>
      <w:proofErr w:type="spellStart"/>
      <w:r w:rsidRPr="008F54CF">
        <w:rPr>
          <w:color w:val="000000" w:themeColor="text1"/>
          <w:lang w:val="ru-RU" w:eastAsia="ru-RU"/>
        </w:rPr>
        <w:t>трансаминаз</w:t>
      </w:r>
      <w:proofErr w:type="spellEnd"/>
      <w:r w:rsidRPr="008F54CF">
        <w:rPr>
          <w:color w:val="000000" w:themeColor="text1"/>
          <w:lang w:val="ru-RU" w:eastAsia="ru-RU"/>
        </w:rPr>
        <w:t xml:space="preserve">», включают повышение уровня АСТ, повышение уровня АЛТ, повышение уровня ферментов печени, нарушение функции печени, </w:t>
      </w:r>
      <w:proofErr w:type="spellStart"/>
      <w:r w:rsidRPr="008F54CF">
        <w:rPr>
          <w:color w:val="000000" w:themeColor="text1"/>
          <w:lang w:val="ru-RU" w:eastAsia="ru-RU"/>
        </w:rPr>
        <w:t>гипертрансаминаземию</w:t>
      </w:r>
      <w:proofErr w:type="spellEnd"/>
      <w:r w:rsidRPr="008F54CF">
        <w:rPr>
          <w:color w:val="000000" w:themeColor="text1"/>
          <w:lang w:val="ru-RU" w:eastAsia="ru-RU"/>
        </w:rPr>
        <w:t xml:space="preserve"> и повышение уровня </w:t>
      </w:r>
      <w:proofErr w:type="spellStart"/>
      <w:r w:rsidRPr="008F54CF">
        <w:rPr>
          <w:color w:val="000000" w:themeColor="text1"/>
          <w:lang w:val="ru-RU" w:eastAsia="ru-RU"/>
        </w:rPr>
        <w:t>трансаминаз</w:t>
      </w:r>
      <w:proofErr w:type="spellEnd"/>
      <w:r w:rsidRPr="008F54CF">
        <w:rPr>
          <w:color w:val="000000" w:themeColor="text1"/>
          <w:lang w:val="ru-RU" w:eastAsia="ru-RU"/>
        </w:rPr>
        <w:t xml:space="preserve"> (см. раздел ниже).</w:t>
      </w:r>
    </w:p>
    <w:p w14:paraId="4A820235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lang w:val="ru-RU" w:eastAsia="ru-RU"/>
        </w:rPr>
      </w:pPr>
      <w:r w:rsidRPr="008F54CF">
        <w:rPr>
          <w:color w:val="000000" w:themeColor="text1"/>
          <w:vertAlign w:val="superscript"/>
          <w:lang w:val="ru-RU" w:eastAsia="ru-RU"/>
        </w:rPr>
        <w:t>c)</w:t>
      </w:r>
      <w:r w:rsidRPr="008F54CF">
        <w:rPr>
          <w:color w:val="000000" w:themeColor="text1"/>
          <w:lang w:val="ru-RU" w:eastAsia="ru-RU"/>
        </w:rPr>
        <w:t xml:space="preserve"> В контролируемом </w:t>
      </w:r>
      <w:proofErr w:type="gramStart"/>
      <w:r w:rsidRPr="008F54CF">
        <w:rPr>
          <w:color w:val="000000" w:themeColor="text1"/>
          <w:lang w:val="ru-RU" w:eastAsia="ru-RU"/>
        </w:rPr>
        <w:t>исследовании</w:t>
      </w:r>
      <w:proofErr w:type="gramEnd"/>
      <w:r w:rsidRPr="008F54CF">
        <w:rPr>
          <w:color w:val="000000" w:themeColor="text1"/>
          <w:lang w:val="ru-RU" w:eastAsia="ru-RU"/>
        </w:rPr>
        <w:t xml:space="preserve"> </w:t>
      </w:r>
      <w:proofErr w:type="spellStart"/>
      <w:r w:rsidRPr="008F54CF">
        <w:rPr>
          <w:color w:val="000000" w:themeColor="text1"/>
          <w:lang w:val="ru-RU" w:eastAsia="ru-RU"/>
        </w:rPr>
        <w:t>IIb</w:t>
      </w:r>
      <w:proofErr w:type="spellEnd"/>
      <w:r w:rsidRPr="008F54CF">
        <w:rPr>
          <w:color w:val="000000" w:themeColor="text1"/>
          <w:lang w:val="ru-RU" w:eastAsia="ru-RU"/>
        </w:rPr>
        <w:t xml:space="preserve"> фазы наблюдалось повышение уровня </w:t>
      </w:r>
      <w:proofErr w:type="spellStart"/>
      <w:r w:rsidRPr="008F54CF">
        <w:rPr>
          <w:color w:val="000000" w:themeColor="text1"/>
          <w:lang w:val="ru-RU" w:eastAsia="ru-RU"/>
        </w:rPr>
        <w:t>трансаминаз</w:t>
      </w:r>
      <w:proofErr w:type="spellEnd"/>
      <w:r w:rsidRPr="008F54CF">
        <w:rPr>
          <w:color w:val="000000" w:themeColor="text1"/>
          <w:lang w:val="ru-RU" w:eastAsia="ru-RU"/>
        </w:rPr>
        <w:t xml:space="preserve"> (6,9% в группе </w:t>
      </w:r>
      <w:proofErr w:type="spellStart"/>
      <w:r w:rsidRPr="008F54CF">
        <w:rPr>
          <w:color w:val="000000" w:themeColor="text1"/>
          <w:lang w:val="ru-RU" w:eastAsia="ru-RU"/>
        </w:rPr>
        <w:t>бедаквелина</w:t>
      </w:r>
      <w:proofErr w:type="spellEnd"/>
      <w:r w:rsidRPr="008F54CF">
        <w:rPr>
          <w:color w:val="000000" w:themeColor="text1"/>
          <w:lang w:val="ru-RU" w:eastAsia="ru-RU"/>
        </w:rPr>
        <w:t xml:space="preserve"> и 1% в группе плацебо).</w:t>
      </w:r>
    </w:p>
    <w:p w14:paraId="789B7BE0" w14:textId="77777777" w:rsidR="00F9397A" w:rsidRPr="008F54CF" w:rsidRDefault="00F9397A" w:rsidP="007F61C7">
      <w:pPr>
        <w:widowControl/>
        <w:shd w:val="clear" w:color="auto" w:fill="FFFFFF"/>
        <w:autoSpaceDE/>
        <w:autoSpaceDN/>
        <w:spacing w:after="150"/>
        <w:jc w:val="both"/>
        <w:rPr>
          <w:color w:val="000000" w:themeColor="text1"/>
          <w:lang w:val="ru-RU" w:eastAsia="ru-RU"/>
        </w:rPr>
      </w:pPr>
      <w:r w:rsidRPr="008F54CF">
        <w:rPr>
          <w:color w:val="000000" w:themeColor="text1"/>
          <w:vertAlign w:val="superscript"/>
          <w:lang w:val="ru-RU" w:eastAsia="ru-RU"/>
        </w:rPr>
        <w:t>d.</w:t>
      </w:r>
      <w:r w:rsidRPr="008F54CF">
        <w:rPr>
          <w:color w:val="000000" w:themeColor="text1"/>
          <w:lang w:val="ru-RU" w:eastAsia="ru-RU"/>
        </w:rPr>
        <w:t xml:space="preserve"> В исследовании </w:t>
      </w:r>
      <w:proofErr w:type="spellStart"/>
      <w:r w:rsidRPr="008F54CF">
        <w:rPr>
          <w:color w:val="000000" w:themeColor="text1"/>
          <w:lang w:val="ru-RU" w:eastAsia="ru-RU"/>
        </w:rPr>
        <w:t>IIb</w:t>
      </w:r>
      <w:proofErr w:type="spellEnd"/>
      <w:r w:rsidRPr="008F54CF">
        <w:rPr>
          <w:color w:val="000000" w:themeColor="text1"/>
          <w:lang w:val="ru-RU" w:eastAsia="ru-RU"/>
        </w:rPr>
        <w:t xml:space="preserve"> фазы наблюдалось частое удлинение интервала QT (2,9% в группе </w:t>
      </w:r>
      <w:proofErr w:type="spellStart"/>
      <w:r w:rsidRPr="008F54CF">
        <w:rPr>
          <w:color w:val="000000" w:themeColor="text1"/>
          <w:lang w:val="ru-RU" w:eastAsia="ru-RU"/>
        </w:rPr>
        <w:t>бедаквелина</w:t>
      </w:r>
      <w:proofErr w:type="spellEnd"/>
      <w:r w:rsidRPr="008F54CF">
        <w:rPr>
          <w:color w:val="000000" w:themeColor="text1"/>
          <w:lang w:val="ru-RU" w:eastAsia="ru-RU"/>
        </w:rPr>
        <w:t xml:space="preserve"> и 3,8% в группе плацебо). </w:t>
      </w:r>
    </w:p>
    <w:p w14:paraId="7FEC2B4B" w14:textId="77777777" w:rsidR="00F9397A" w:rsidRPr="008F54CF" w:rsidRDefault="00F9397A" w:rsidP="007F61C7">
      <w:pPr>
        <w:jc w:val="both"/>
        <w:rPr>
          <w:color w:val="000000" w:themeColor="text1"/>
          <w:sz w:val="20"/>
          <w:szCs w:val="20"/>
          <w:lang w:val="ru-RU"/>
        </w:rPr>
      </w:pPr>
    </w:p>
    <w:p w14:paraId="2A78FBDA" w14:textId="77777777" w:rsidR="007F61C7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</w:rPr>
      </w:pPr>
      <w:r w:rsidRPr="00B3786A">
        <w:rPr>
          <w:i/>
          <w:iCs/>
          <w:color w:val="000000" w:themeColor="text1"/>
          <w:sz w:val="24"/>
          <w:szCs w:val="24"/>
          <w:lang w:val="ru-RU"/>
        </w:rPr>
        <w:t>Другие нежелательные реакции</w:t>
      </w:r>
    </w:p>
    <w:p w14:paraId="4CA17DE7" w14:textId="77777777" w:rsidR="007F61C7" w:rsidRPr="00B3786A" w:rsidRDefault="00F9397A" w:rsidP="007F61C7">
      <w:pPr>
        <w:jc w:val="both"/>
        <w:rPr>
          <w:color w:val="000000" w:themeColor="text1"/>
          <w:sz w:val="24"/>
          <w:szCs w:val="24"/>
        </w:rPr>
      </w:pPr>
      <w:r w:rsidRPr="00B3786A">
        <w:rPr>
          <w:color w:val="000000" w:themeColor="text1"/>
          <w:sz w:val="24"/>
          <w:szCs w:val="24"/>
          <w:lang w:val="ru-RU"/>
        </w:rPr>
        <w:t xml:space="preserve">При применении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также сообщалось о следующих нежелательных реакциях:</w:t>
      </w:r>
      <w:r w:rsidRPr="00B3786A">
        <w:rPr>
          <w:color w:val="000000" w:themeColor="text1"/>
          <w:sz w:val="24"/>
          <w:szCs w:val="24"/>
          <w:lang w:val="ru-RU"/>
        </w:rPr>
        <w:br/>
        <w:t>• кровохарканье</w:t>
      </w:r>
    </w:p>
    <w:p w14:paraId="26F07AC4" w14:textId="77777777" w:rsidR="007F61C7" w:rsidRPr="00B3786A" w:rsidRDefault="00F9397A" w:rsidP="007F61C7">
      <w:pPr>
        <w:jc w:val="both"/>
        <w:rPr>
          <w:color w:val="000000" w:themeColor="text1"/>
          <w:sz w:val="24"/>
          <w:szCs w:val="24"/>
        </w:rPr>
      </w:pPr>
      <w:r w:rsidRPr="00B3786A">
        <w:rPr>
          <w:color w:val="000000" w:themeColor="text1"/>
          <w:sz w:val="24"/>
          <w:szCs w:val="24"/>
          <w:lang w:val="ru-RU"/>
        </w:rPr>
        <w:t>• боль в груди</w:t>
      </w:r>
    </w:p>
    <w:p w14:paraId="285567CA" w14:textId="77777777" w:rsidR="007F61C7" w:rsidRPr="00B3786A" w:rsidRDefault="00F9397A" w:rsidP="007F61C7">
      <w:pPr>
        <w:jc w:val="both"/>
        <w:rPr>
          <w:color w:val="000000" w:themeColor="text1"/>
          <w:sz w:val="24"/>
          <w:szCs w:val="24"/>
        </w:rPr>
      </w:pPr>
      <w:r w:rsidRPr="00B3786A">
        <w:rPr>
          <w:color w:val="000000" w:themeColor="text1"/>
          <w:sz w:val="24"/>
          <w:szCs w:val="24"/>
          <w:lang w:val="ru-RU"/>
        </w:rPr>
        <w:t>• анорексия</w:t>
      </w:r>
    </w:p>
    <w:p w14:paraId="57DA6EAA" w14:textId="4D540F24" w:rsidR="00F9397A" w:rsidRPr="00B3786A" w:rsidRDefault="00F9397A" w:rsidP="007F61C7">
      <w:pPr>
        <w:jc w:val="both"/>
        <w:rPr>
          <w:color w:val="000000" w:themeColor="text1"/>
          <w:sz w:val="24"/>
          <w:szCs w:val="24"/>
        </w:rPr>
      </w:pPr>
      <w:r w:rsidRPr="00B3786A">
        <w:rPr>
          <w:color w:val="000000" w:themeColor="text1"/>
          <w:sz w:val="24"/>
          <w:szCs w:val="24"/>
          <w:lang w:val="ru-RU"/>
        </w:rPr>
        <w:t>• сыпь</w:t>
      </w:r>
    </w:p>
    <w:p w14:paraId="2CD5B91D" w14:textId="77777777" w:rsidR="007F61C7" w:rsidRPr="00B3786A" w:rsidRDefault="007F61C7" w:rsidP="007F61C7">
      <w:pPr>
        <w:jc w:val="both"/>
        <w:rPr>
          <w:b/>
          <w:bCs/>
          <w:color w:val="000000" w:themeColor="text1"/>
          <w:sz w:val="24"/>
          <w:szCs w:val="24"/>
        </w:rPr>
      </w:pPr>
    </w:p>
    <w:p w14:paraId="71D460F9" w14:textId="77777777" w:rsidR="00F9397A" w:rsidRPr="00B3786A" w:rsidRDefault="00F9397A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B3786A">
        <w:rPr>
          <w:b/>
          <w:bCs/>
          <w:color w:val="000000" w:themeColor="text1"/>
          <w:sz w:val="24"/>
          <w:szCs w:val="24"/>
          <w:lang w:val="ru-RU"/>
        </w:rPr>
        <w:t>Описание отдельных нежелательных реакций</w:t>
      </w:r>
    </w:p>
    <w:p w14:paraId="6C90DFF9" w14:textId="77777777" w:rsidR="007F61C7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B3786A">
        <w:rPr>
          <w:i/>
          <w:iCs/>
          <w:color w:val="000000" w:themeColor="text1"/>
          <w:sz w:val="24"/>
          <w:szCs w:val="24"/>
          <w:lang w:val="ru-RU"/>
        </w:rPr>
        <w:t xml:space="preserve">Удлинение интервала </w:t>
      </w:r>
      <w:r w:rsidRPr="00B3786A">
        <w:rPr>
          <w:i/>
          <w:iCs/>
          <w:color w:val="000000" w:themeColor="text1"/>
          <w:sz w:val="24"/>
          <w:szCs w:val="24"/>
        </w:rPr>
        <w:t>QT</w:t>
      </w:r>
    </w:p>
    <w:p w14:paraId="3BD0590A" w14:textId="081F6707" w:rsidR="00F9397A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r w:rsidRPr="00B3786A">
        <w:rPr>
          <w:color w:val="000000" w:themeColor="text1"/>
          <w:sz w:val="24"/>
          <w:szCs w:val="24"/>
          <w:lang w:val="ru-RU"/>
        </w:rPr>
        <w:t xml:space="preserve">В клинических </w:t>
      </w:r>
      <w:proofErr w:type="gramStart"/>
      <w:r w:rsidRPr="00B3786A">
        <w:rPr>
          <w:color w:val="000000" w:themeColor="text1"/>
          <w:sz w:val="24"/>
          <w:szCs w:val="24"/>
          <w:lang w:val="ru-RU"/>
        </w:rPr>
        <w:t>исследованиях</w:t>
      </w:r>
      <w:proofErr w:type="gramEnd"/>
      <w:r w:rsidRPr="00B3786A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у взрослых пациентов с туберкулёзом на протяжении всего периода лечения наблюдалось среднее увеличение </w:t>
      </w:r>
      <w:proofErr w:type="spellStart"/>
      <w:r w:rsidRPr="00B3786A">
        <w:rPr>
          <w:color w:val="000000" w:themeColor="text1"/>
          <w:sz w:val="24"/>
          <w:szCs w:val="24"/>
        </w:rPr>
        <w:t>QTcF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менее чем на 10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мс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что связано с действием </w:t>
      </w:r>
      <w:r w:rsidRPr="00B3786A">
        <w:rPr>
          <w:color w:val="000000" w:themeColor="text1"/>
          <w:sz w:val="24"/>
          <w:szCs w:val="24"/>
        </w:rPr>
        <w:t>M</w:t>
      </w:r>
      <w:r w:rsidRPr="00B3786A">
        <w:rPr>
          <w:color w:val="000000" w:themeColor="text1"/>
          <w:sz w:val="24"/>
          <w:szCs w:val="24"/>
          <w:lang w:val="ru-RU"/>
        </w:rPr>
        <w:t xml:space="preserve">2 -  основного метаболита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. При комбинированном применении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с другими препаратами, удлиняющими интервал </w:t>
      </w:r>
      <w:r w:rsidRPr="00B3786A">
        <w:rPr>
          <w:color w:val="000000" w:themeColor="text1"/>
          <w:sz w:val="24"/>
          <w:szCs w:val="24"/>
        </w:rPr>
        <w:t>QT</w:t>
      </w:r>
      <w:r w:rsidRPr="00B3786A">
        <w:rPr>
          <w:color w:val="000000" w:themeColor="text1"/>
          <w:sz w:val="24"/>
          <w:szCs w:val="24"/>
          <w:lang w:val="ru-RU"/>
        </w:rPr>
        <w:t xml:space="preserve"> (например,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клофазимином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деламанидом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фторхинолонами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), наблюдалось удлинение интервала </w:t>
      </w:r>
      <w:proofErr w:type="spellStart"/>
      <w:r w:rsidRPr="00B3786A">
        <w:rPr>
          <w:color w:val="000000" w:themeColor="text1"/>
          <w:sz w:val="24"/>
          <w:szCs w:val="24"/>
        </w:rPr>
        <w:t>QTc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не превышающее аддитивного эффекта (см. раздел 4.5). После окончания лечения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3786A">
        <w:rPr>
          <w:color w:val="000000" w:themeColor="text1"/>
          <w:sz w:val="24"/>
          <w:szCs w:val="24"/>
        </w:rPr>
        <w:t>QTcF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постепенно снижался.</w:t>
      </w:r>
    </w:p>
    <w:p w14:paraId="42F4B2AB" w14:textId="77777777" w:rsidR="00F9397A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1E2B49A1" w14:textId="77777777" w:rsidR="007F61C7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</w:rPr>
      </w:pPr>
      <w:r w:rsidRPr="00B3786A">
        <w:rPr>
          <w:i/>
          <w:iCs/>
          <w:color w:val="000000" w:themeColor="text1"/>
          <w:sz w:val="24"/>
          <w:szCs w:val="24"/>
          <w:lang w:val="ru-RU"/>
        </w:rPr>
        <w:t>Повышение уровня печёночных ферментов</w:t>
      </w:r>
    </w:p>
    <w:p w14:paraId="40772263" w14:textId="0EA860A9" w:rsidR="00F9397A" w:rsidRPr="00B3786A" w:rsidRDefault="00F9397A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  <w:proofErr w:type="gramStart"/>
      <w:r w:rsidRPr="00B3786A">
        <w:rPr>
          <w:color w:val="000000" w:themeColor="text1"/>
          <w:sz w:val="24"/>
          <w:szCs w:val="24"/>
          <w:lang w:val="ru-RU"/>
        </w:rPr>
        <w:t xml:space="preserve">В одном исследовании повышение уровня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как минимум в 3 раза выше верхней границы нормы наблюдалось чаще в группе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>, чем в группе плацебо (11/101 [10,9%] против 6/104 [5,8%]).</w:t>
      </w:r>
      <w:proofErr w:type="gramEnd"/>
      <w:r w:rsidRPr="00B3786A">
        <w:rPr>
          <w:color w:val="000000" w:themeColor="text1"/>
          <w:sz w:val="24"/>
          <w:szCs w:val="24"/>
          <w:lang w:val="ru-RU"/>
        </w:rPr>
        <w:t xml:space="preserve"> В группе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большинство таких случаев отмечалось на протяжении 24 недель лечения и носило обратимый характер.</w:t>
      </w:r>
    </w:p>
    <w:p w14:paraId="356F08C1" w14:textId="77777777" w:rsidR="00F9397A" w:rsidRPr="00B3786A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B3786A">
        <w:rPr>
          <w:color w:val="000000" w:themeColor="text1"/>
          <w:sz w:val="24"/>
          <w:szCs w:val="24"/>
          <w:lang w:val="ru-RU"/>
        </w:rPr>
        <w:t xml:space="preserve">В другом </w:t>
      </w:r>
      <w:proofErr w:type="gramStart"/>
      <w:r w:rsidRPr="00B3786A">
        <w:rPr>
          <w:color w:val="000000" w:themeColor="text1"/>
          <w:sz w:val="24"/>
          <w:szCs w:val="24"/>
          <w:lang w:val="ru-RU"/>
        </w:rPr>
        <w:t>исследовании</w:t>
      </w:r>
      <w:proofErr w:type="gramEnd"/>
      <w:r w:rsidRPr="00B3786A">
        <w:rPr>
          <w:color w:val="000000" w:themeColor="text1"/>
          <w:sz w:val="24"/>
          <w:szCs w:val="24"/>
          <w:lang w:val="ru-RU"/>
        </w:rPr>
        <w:t xml:space="preserve"> повышение уровня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трансаминаз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чаще наблюдалось при более длительном лечении (40 недель)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бедаквилином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в сочетании с фоновым режимом терапии, однако частота таких случаев была сходной (29,9%) с таковой в активной контрольной группе (29,2%). Контрольное лечение включало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моксифлоксацин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или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левофлоксацин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клофазимин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этамбутол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пиразинамид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и дополнялось </w:t>
      </w:r>
      <w:proofErr w:type="gramStart"/>
      <w:r w:rsidRPr="00B3786A">
        <w:rPr>
          <w:color w:val="000000" w:themeColor="text1"/>
          <w:sz w:val="24"/>
          <w:szCs w:val="24"/>
          <w:lang w:val="ru-RU"/>
        </w:rPr>
        <w:t>инъекционным</w:t>
      </w:r>
      <w:proofErr w:type="gramEnd"/>
      <w:r w:rsidRPr="00B3786A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канамицином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изониазидом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в высокой дозе и </w:t>
      </w:r>
      <w:proofErr w:type="spellStart"/>
      <w:r w:rsidRPr="00B3786A">
        <w:rPr>
          <w:color w:val="000000" w:themeColor="text1"/>
          <w:sz w:val="24"/>
          <w:szCs w:val="24"/>
          <w:lang w:val="ru-RU"/>
        </w:rPr>
        <w:t>протионамидом</w:t>
      </w:r>
      <w:proofErr w:type="spellEnd"/>
      <w:r w:rsidRPr="00B3786A">
        <w:rPr>
          <w:color w:val="000000" w:themeColor="text1"/>
          <w:sz w:val="24"/>
          <w:szCs w:val="24"/>
          <w:lang w:val="ru-RU"/>
        </w:rPr>
        <w:t xml:space="preserve"> в течение первых 16 недель (интенсивная фаза).</w:t>
      </w:r>
    </w:p>
    <w:p w14:paraId="7FAFB751" w14:textId="77777777" w:rsidR="00F9397A" w:rsidRPr="00B3786A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61171DCF" w14:textId="77777777" w:rsidR="007F61C7" w:rsidRPr="00B3786A" w:rsidRDefault="00F9397A" w:rsidP="00076F84">
      <w:pPr>
        <w:pStyle w:val="ac"/>
        <w:shd w:val="clear" w:color="auto" w:fill="FFFFFF"/>
        <w:spacing w:before="0" w:beforeAutospacing="0" w:after="0" w:afterAutospacing="0"/>
        <w:jc w:val="both"/>
        <w:rPr>
          <w:i/>
          <w:iCs/>
          <w:color w:val="000000" w:themeColor="text1"/>
        </w:rPr>
      </w:pPr>
      <w:r w:rsidRPr="00B3786A">
        <w:rPr>
          <w:i/>
          <w:iCs/>
          <w:color w:val="000000" w:themeColor="text1"/>
          <w:lang w:val="ru-RU"/>
        </w:rPr>
        <w:t>Педиатрическая популяция</w:t>
      </w:r>
    </w:p>
    <w:p w14:paraId="13188B26" w14:textId="4EDF6A10" w:rsidR="00F9397A" w:rsidRPr="00B3786A" w:rsidRDefault="00F9397A" w:rsidP="00076F84">
      <w:pPr>
        <w:pStyle w:val="ac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ru-RU"/>
        </w:rPr>
      </w:pPr>
      <w:proofErr w:type="gramStart"/>
      <w:r w:rsidRPr="00B3786A">
        <w:rPr>
          <w:color w:val="000000" w:themeColor="text1"/>
          <w:lang w:val="ru-RU"/>
        </w:rPr>
        <w:t xml:space="preserve">Оценка безопасности </w:t>
      </w:r>
      <w:proofErr w:type="spellStart"/>
      <w:r w:rsidRPr="00B3786A">
        <w:rPr>
          <w:color w:val="000000" w:themeColor="text1"/>
          <w:lang w:val="ru-RU"/>
        </w:rPr>
        <w:t>бедаквилина</w:t>
      </w:r>
      <w:proofErr w:type="spellEnd"/>
      <w:r w:rsidRPr="00B3786A">
        <w:rPr>
          <w:color w:val="000000" w:themeColor="text1"/>
          <w:lang w:val="ru-RU"/>
        </w:rPr>
        <w:t xml:space="preserve"> основана на анализе данных за 120-ю неделю для пациентов в возрасте от 12 до 18 лет и от 5 до 12 лет, а также на анализе данных за 24-ю неделю для пациентов в возрасте от 2 до 5 лет, полученных от 45 детей в возрасте 2 лет и старше с подтвержденным или вероятным туберкулезом легких, вызванным</w:t>
      </w:r>
      <w:r w:rsidRPr="00B3786A">
        <w:rPr>
          <w:color w:val="000000" w:themeColor="text1"/>
        </w:rPr>
        <w:t> </w:t>
      </w:r>
      <w:r w:rsidRPr="00B3786A">
        <w:rPr>
          <w:rStyle w:val="ae"/>
          <w:color w:val="000000" w:themeColor="text1"/>
        </w:rPr>
        <w:t>M</w:t>
      </w:r>
      <w:proofErr w:type="gramEnd"/>
      <w:r w:rsidRPr="00B3786A">
        <w:rPr>
          <w:rStyle w:val="ae"/>
          <w:color w:val="000000" w:themeColor="text1"/>
          <w:lang w:val="ru-RU"/>
        </w:rPr>
        <w:t xml:space="preserve">. </w:t>
      </w:r>
      <w:proofErr w:type="gramStart"/>
      <w:r w:rsidRPr="00B3786A">
        <w:rPr>
          <w:rStyle w:val="ae"/>
          <w:color w:val="000000" w:themeColor="text1"/>
        </w:rPr>
        <w:t>tuberculosis</w:t>
      </w:r>
      <w:r w:rsidRPr="00B3786A">
        <w:rPr>
          <w:color w:val="000000" w:themeColor="text1"/>
        </w:rPr>
        <w:t> </w:t>
      </w:r>
      <w:r w:rsidRPr="00B3786A">
        <w:rPr>
          <w:color w:val="000000" w:themeColor="text1"/>
          <w:lang w:val="ru-RU"/>
        </w:rPr>
        <w:t>,</w:t>
      </w:r>
      <w:proofErr w:type="gramEnd"/>
      <w:r w:rsidRPr="00B3786A">
        <w:rPr>
          <w:color w:val="000000" w:themeColor="text1"/>
          <w:lang w:val="ru-RU"/>
        </w:rPr>
        <w:t xml:space="preserve"> устойчивым как минимум к </w:t>
      </w:r>
      <w:proofErr w:type="spellStart"/>
      <w:r w:rsidRPr="00B3786A">
        <w:rPr>
          <w:color w:val="000000" w:themeColor="text1"/>
          <w:lang w:val="ru-RU"/>
        </w:rPr>
        <w:t>рифампицину</w:t>
      </w:r>
      <w:proofErr w:type="spellEnd"/>
      <w:r w:rsidRPr="00B3786A">
        <w:rPr>
          <w:color w:val="000000" w:themeColor="text1"/>
          <w:lang w:val="ru-RU"/>
        </w:rPr>
        <w:t xml:space="preserve">, в рамках продолжающегося </w:t>
      </w:r>
      <w:proofErr w:type="spellStart"/>
      <w:r w:rsidRPr="00B3786A">
        <w:rPr>
          <w:color w:val="000000" w:themeColor="text1"/>
          <w:lang w:val="ru-RU"/>
        </w:rPr>
        <w:t>одногруппового</w:t>
      </w:r>
      <w:proofErr w:type="spellEnd"/>
      <w:r w:rsidRPr="00B3786A">
        <w:rPr>
          <w:color w:val="000000" w:themeColor="text1"/>
          <w:lang w:val="ru-RU"/>
        </w:rPr>
        <w:t xml:space="preserve"> открытого </w:t>
      </w:r>
      <w:proofErr w:type="spellStart"/>
      <w:r w:rsidRPr="00B3786A">
        <w:rPr>
          <w:color w:val="000000" w:themeColor="text1"/>
          <w:lang w:val="ru-RU"/>
        </w:rPr>
        <w:t>многокогортного</w:t>
      </w:r>
      <w:proofErr w:type="spellEnd"/>
      <w:r w:rsidRPr="00B3786A">
        <w:rPr>
          <w:color w:val="000000" w:themeColor="text1"/>
          <w:lang w:val="ru-RU"/>
        </w:rPr>
        <w:t xml:space="preserve"> исследования (см. раздел 5.1). В </w:t>
      </w:r>
      <w:proofErr w:type="gramStart"/>
      <w:r w:rsidRPr="00B3786A">
        <w:rPr>
          <w:color w:val="000000" w:themeColor="text1"/>
          <w:lang w:val="ru-RU"/>
        </w:rPr>
        <w:t>целом</w:t>
      </w:r>
      <w:proofErr w:type="gramEnd"/>
      <w:r w:rsidRPr="00B3786A">
        <w:rPr>
          <w:color w:val="000000" w:themeColor="text1"/>
          <w:lang w:val="ru-RU"/>
        </w:rPr>
        <w:t xml:space="preserve">, не </w:t>
      </w:r>
      <w:r w:rsidRPr="00B3786A">
        <w:rPr>
          <w:color w:val="000000" w:themeColor="text1"/>
          <w:lang w:val="ru-RU"/>
        </w:rPr>
        <w:lastRenderedPageBreak/>
        <w:t>было выявлено каких-либо различий в профиле безопасности у подростков в возрасте от 14 до 18 лет (</w:t>
      </w:r>
      <w:r w:rsidRPr="00B3786A">
        <w:rPr>
          <w:color w:val="000000" w:themeColor="text1"/>
        </w:rPr>
        <w:t>N</w:t>
      </w:r>
      <w:r w:rsidRPr="00B3786A">
        <w:rPr>
          <w:color w:val="000000" w:themeColor="text1"/>
          <w:lang w:val="ru-RU"/>
        </w:rPr>
        <w:t>=15) по сравнению с таковым у взрослых. В ходе исследования не было зарегистрировано ни одного случая смерти.</w:t>
      </w:r>
    </w:p>
    <w:p w14:paraId="2F9EF9DC" w14:textId="77777777" w:rsidR="00F9397A" w:rsidRPr="00B3786A" w:rsidRDefault="00F9397A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B3786A">
        <w:rPr>
          <w:color w:val="000000" w:themeColor="text1"/>
          <w:lang w:val="ru-RU"/>
        </w:rPr>
        <w:t>У детей в возрасте от 5 до 11 лет (</w:t>
      </w:r>
      <w:r w:rsidRPr="00B3786A">
        <w:rPr>
          <w:color w:val="000000" w:themeColor="text1"/>
        </w:rPr>
        <w:t>N</w:t>
      </w:r>
      <w:r w:rsidRPr="00B3786A">
        <w:rPr>
          <w:color w:val="000000" w:themeColor="text1"/>
          <w:lang w:val="ru-RU"/>
        </w:rPr>
        <w:t xml:space="preserve">=15) наиболее распространенными нежелательными реакциями были повышение уровня ферментов печени (5/15, 33%), проявляющееся в виде повышения АЛТ/АСТ и </w:t>
      </w:r>
      <w:proofErr w:type="spellStart"/>
      <w:r w:rsidRPr="00B3786A">
        <w:rPr>
          <w:color w:val="000000" w:themeColor="text1"/>
          <w:lang w:val="ru-RU"/>
        </w:rPr>
        <w:t>гепатотоксичности</w:t>
      </w:r>
      <w:proofErr w:type="spellEnd"/>
      <w:r w:rsidRPr="00B3786A">
        <w:rPr>
          <w:color w:val="000000" w:themeColor="text1"/>
          <w:lang w:val="ru-RU"/>
        </w:rPr>
        <w:t xml:space="preserve">; </w:t>
      </w:r>
      <w:proofErr w:type="spellStart"/>
      <w:r w:rsidRPr="00B3786A">
        <w:rPr>
          <w:color w:val="000000" w:themeColor="text1"/>
          <w:lang w:val="ru-RU"/>
        </w:rPr>
        <w:t>гепатотоксичность</w:t>
      </w:r>
      <w:proofErr w:type="spellEnd"/>
      <w:r w:rsidRPr="00B3786A">
        <w:rPr>
          <w:color w:val="000000" w:themeColor="text1"/>
          <w:lang w:val="ru-RU"/>
        </w:rPr>
        <w:t xml:space="preserve"> привела к прекращению применения </w:t>
      </w:r>
      <w:proofErr w:type="spellStart"/>
      <w:r w:rsidRPr="00B3786A">
        <w:rPr>
          <w:color w:val="000000" w:themeColor="text1"/>
          <w:lang w:val="ru-RU"/>
        </w:rPr>
        <w:t>бедаквилина</w:t>
      </w:r>
      <w:proofErr w:type="spellEnd"/>
      <w:r w:rsidRPr="00B3786A">
        <w:rPr>
          <w:color w:val="000000" w:themeColor="text1"/>
          <w:lang w:val="ru-RU"/>
        </w:rPr>
        <w:t xml:space="preserve"> у трех пациентов. Повышение уровня ферментов печени было обратимым после прекращения применения </w:t>
      </w:r>
      <w:proofErr w:type="spellStart"/>
      <w:r w:rsidRPr="00B3786A">
        <w:rPr>
          <w:color w:val="000000" w:themeColor="text1"/>
          <w:lang w:val="ru-RU"/>
        </w:rPr>
        <w:t>бедаквилина</w:t>
      </w:r>
      <w:proofErr w:type="spellEnd"/>
      <w:r w:rsidRPr="00B3786A">
        <w:rPr>
          <w:color w:val="000000" w:themeColor="text1"/>
          <w:lang w:val="ru-RU"/>
        </w:rPr>
        <w:t xml:space="preserve"> и фоновой терапии. В ходе исследования случаев смерти зарегистрировано не было.</w:t>
      </w:r>
    </w:p>
    <w:p w14:paraId="00E44A96" w14:textId="77777777" w:rsidR="00F9397A" w:rsidRPr="00B3786A" w:rsidRDefault="00F9397A" w:rsidP="007F61C7">
      <w:pPr>
        <w:pStyle w:val="ac"/>
        <w:shd w:val="clear" w:color="auto" w:fill="FFFFFF"/>
        <w:spacing w:before="0" w:beforeAutospacing="0" w:after="150" w:afterAutospacing="0"/>
        <w:jc w:val="both"/>
        <w:rPr>
          <w:color w:val="000000" w:themeColor="text1"/>
          <w:lang w:val="ru-RU"/>
        </w:rPr>
      </w:pPr>
      <w:r w:rsidRPr="00B3786A">
        <w:rPr>
          <w:color w:val="000000" w:themeColor="text1"/>
          <w:lang w:val="ru-RU"/>
        </w:rPr>
        <w:t>У детей в возрасте от 2 до 5 лет (</w:t>
      </w:r>
      <w:r w:rsidRPr="00B3786A">
        <w:rPr>
          <w:color w:val="000000" w:themeColor="text1"/>
        </w:rPr>
        <w:t>N</w:t>
      </w:r>
      <w:r w:rsidRPr="00B3786A">
        <w:rPr>
          <w:color w:val="000000" w:themeColor="text1"/>
          <w:lang w:val="ru-RU"/>
        </w:rPr>
        <w:t xml:space="preserve">=15) наиболее распространенной нежелательной реакцией была рвота у 3 из 15 (20%) пациентов. Удлинение интервала </w:t>
      </w:r>
      <w:r w:rsidRPr="00B3786A">
        <w:rPr>
          <w:color w:val="000000" w:themeColor="text1"/>
        </w:rPr>
        <w:t>QT</w:t>
      </w:r>
      <w:r w:rsidRPr="00B3786A">
        <w:rPr>
          <w:color w:val="000000" w:themeColor="text1"/>
          <w:lang w:val="ru-RU"/>
        </w:rPr>
        <w:t xml:space="preserve"> и артралгия были зарегистрированы у одного пациента в каждом случае. Среди этих 15 детей не было зарегистрировано ни одного случая смерти во время лечения </w:t>
      </w:r>
      <w:proofErr w:type="spellStart"/>
      <w:r w:rsidRPr="00B3786A">
        <w:rPr>
          <w:color w:val="000000" w:themeColor="text1"/>
          <w:lang w:val="ru-RU"/>
        </w:rPr>
        <w:t>бедаквилином</w:t>
      </w:r>
      <w:proofErr w:type="spellEnd"/>
      <w:r w:rsidRPr="00B3786A">
        <w:rPr>
          <w:color w:val="000000" w:themeColor="text1"/>
          <w:lang w:val="ru-RU"/>
        </w:rPr>
        <w:t xml:space="preserve"> (анализ на 24-й неделе).</w:t>
      </w:r>
    </w:p>
    <w:p w14:paraId="510E11EA" w14:textId="77777777" w:rsidR="00F9397A" w:rsidRPr="00B3786A" w:rsidRDefault="00F9397A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1B9AD8DC" w14:textId="77777777" w:rsidR="00BE5F73" w:rsidRPr="008F54CF" w:rsidRDefault="00BE5F73" w:rsidP="007F61C7">
      <w:pPr>
        <w:pStyle w:val="af1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F54CF">
        <w:rPr>
          <w:rFonts w:ascii="Times New Roman" w:hAnsi="Times New Roman"/>
          <w:b/>
          <w:color w:val="000000" w:themeColor="text1"/>
          <w:sz w:val="24"/>
          <w:szCs w:val="24"/>
        </w:rPr>
        <w:t xml:space="preserve">При возникновении нежелательных лекарственных реакций обращаться к медицинскому работнику, фармацевтическому работнику или напрямую в информационную базу данных по нежелательным реакциям (действиям) на лекарственные препараты, включая сообщения о неэффективности лекарственных препаратов </w:t>
      </w:r>
    </w:p>
    <w:p w14:paraId="1E7E3A67" w14:textId="77777777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РГП на ПХВ «Национальный Центр экспертизы лекарственных средств и медицинских изделий» Комитета медицинского и фармацевтического контроля Министерства здравоохранения Республики Казахстан</w:t>
      </w:r>
    </w:p>
    <w:p w14:paraId="6B934A05" w14:textId="77777777" w:rsidR="00BE5F73" w:rsidRPr="008F54CF" w:rsidRDefault="00B47157" w:rsidP="007F61C7">
      <w:pPr>
        <w:keepNext/>
        <w:jc w:val="both"/>
        <w:rPr>
          <w:color w:val="000000" w:themeColor="text1"/>
          <w:sz w:val="24"/>
          <w:szCs w:val="24"/>
          <w:lang w:val="ru-RU"/>
        </w:rPr>
      </w:pPr>
      <w:hyperlink r:id="rId9" w:history="1">
        <w:r w:rsidR="00BE5F73" w:rsidRPr="008F54CF">
          <w:rPr>
            <w:rStyle w:val="af0"/>
            <w:color w:val="000000" w:themeColor="text1"/>
            <w:sz w:val="24"/>
            <w:szCs w:val="24"/>
          </w:rPr>
          <w:t>http</w:t>
        </w:r>
        <w:r w:rsidR="00BE5F73" w:rsidRPr="008F54CF">
          <w:rPr>
            <w:rStyle w:val="af0"/>
            <w:color w:val="000000" w:themeColor="text1"/>
            <w:sz w:val="24"/>
            <w:szCs w:val="24"/>
            <w:lang w:val="ru-RU"/>
          </w:rPr>
          <w:t>://</w:t>
        </w:r>
        <w:r w:rsidR="00BE5F73" w:rsidRPr="008F54CF">
          <w:rPr>
            <w:rStyle w:val="af0"/>
            <w:color w:val="000000" w:themeColor="text1"/>
            <w:sz w:val="24"/>
            <w:szCs w:val="24"/>
          </w:rPr>
          <w:t>www</w:t>
        </w:r>
        <w:r w:rsidR="00BE5F73" w:rsidRPr="008F54CF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="00BE5F73" w:rsidRPr="008F54CF">
          <w:rPr>
            <w:rStyle w:val="af0"/>
            <w:color w:val="000000" w:themeColor="text1"/>
            <w:sz w:val="24"/>
            <w:szCs w:val="24"/>
          </w:rPr>
          <w:t>ndda</w:t>
        </w:r>
        <w:proofErr w:type="spellEnd"/>
        <w:r w:rsidR="00BE5F73" w:rsidRPr="008F54CF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proofErr w:type="spellStart"/>
        <w:r w:rsidR="00BE5F73" w:rsidRPr="008F54CF">
          <w:rPr>
            <w:rStyle w:val="af0"/>
            <w:color w:val="000000" w:themeColor="text1"/>
            <w:sz w:val="24"/>
            <w:szCs w:val="24"/>
          </w:rPr>
          <w:t>kz</w:t>
        </w:r>
        <w:proofErr w:type="spellEnd"/>
      </w:hyperlink>
    </w:p>
    <w:p w14:paraId="42CC97BE" w14:textId="77777777" w:rsidR="00E4555D" w:rsidRPr="008F54CF" w:rsidRDefault="00E4555D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3BC72E41" w14:textId="77777777" w:rsidR="00BE5F73" w:rsidRPr="008F54CF" w:rsidRDefault="00BE5F73" w:rsidP="007F61C7">
      <w:pPr>
        <w:pStyle w:val="af1"/>
        <w:jc w:val="both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 w:rsidRPr="008F54CF"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  <w:t>Дополнительные сведения</w:t>
      </w:r>
    </w:p>
    <w:p w14:paraId="729446B1" w14:textId="77777777" w:rsidR="00BE5F73" w:rsidRPr="008F54CF" w:rsidRDefault="00BE5F73" w:rsidP="007F61C7">
      <w:pPr>
        <w:jc w:val="both"/>
        <w:rPr>
          <w:i/>
          <w:color w:val="000000" w:themeColor="text1"/>
          <w:sz w:val="24"/>
          <w:szCs w:val="24"/>
          <w:lang w:val="ru-RU"/>
        </w:rPr>
      </w:pPr>
      <w:bookmarkStart w:id="3" w:name="2175220285"/>
      <w:r w:rsidRPr="008F54CF">
        <w:rPr>
          <w:b/>
          <w:i/>
          <w:color w:val="000000" w:themeColor="text1"/>
          <w:sz w:val="24"/>
          <w:szCs w:val="24"/>
          <w:lang w:val="ru-RU" w:eastAsia="ru-RU"/>
        </w:rPr>
        <w:t xml:space="preserve">Состав лекарственного препарата </w:t>
      </w:r>
    </w:p>
    <w:bookmarkEnd w:id="3"/>
    <w:p w14:paraId="5536D134" w14:textId="674ECE4D" w:rsidR="00637212" w:rsidRPr="008F54CF" w:rsidRDefault="009E50D4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Одна </w:t>
      </w:r>
      <w:r w:rsidR="00637212" w:rsidRPr="008F54CF">
        <w:rPr>
          <w:color w:val="000000" w:themeColor="text1"/>
          <w:sz w:val="24"/>
          <w:szCs w:val="24"/>
          <w:lang w:val="ru-RU"/>
        </w:rPr>
        <w:t>таблетка содержит</w:t>
      </w:r>
      <w:r w:rsidR="007B417D" w:rsidRPr="008F54CF">
        <w:rPr>
          <w:color w:val="000000" w:themeColor="text1"/>
          <w:sz w:val="24"/>
          <w:szCs w:val="24"/>
          <w:lang w:val="ru-RU"/>
        </w:rPr>
        <w:t xml:space="preserve">: </w:t>
      </w:r>
      <w:r w:rsidRPr="008F54CF">
        <w:rPr>
          <w:bCs/>
          <w:i/>
          <w:color w:val="000000" w:themeColor="text1"/>
          <w:sz w:val="24"/>
          <w:szCs w:val="24"/>
          <w:lang w:val="ru-RU" w:eastAsia="ru-RU"/>
        </w:rPr>
        <w:t xml:space="preserve">активное вещество - </w:t>
      </w:r>
      <w:proofErr w:type="spellStart"/>
      <w:r w:rsidR="00637212"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637212"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 xml:space="preserve"> фумарата</w:t>
      </w:r>
      <w:r w:rsidRPr="008F54CF">
        <w:rPr>
          <w:color w:val="000000" w:themeColor="text1"/>
          <w:sz w:val="24"/>
          <w:szCs w:val="24"/>
          <w:lang w:val="ru-RU"/>
        </w:rPr>
        <w:t>120,89 мг</w:t>
      </w:r>
      <w:r w:rsidR="00637212" w:rsidRPr="008F54CF">
        <w:rPr>
          <w:color w:val="000000" w:themeColor="text1"/>
          <w:sz w:val="24"/>
          <w:szCs w:val="24"/>
          <w:lang w:val="ru-RU"/>
        </w:rPr>
        <w:t xml:space="preserve">, что соответствует 100 мг </w:t>
      </w:r>
      <w:proofErr w:type="spellStart"/>
      <w:r w:rsidR="00637212" w:rsidRPr="008F54CF">
        <w:rPr>
          <w:rStyle w:val="ad"/>
          <w:b w:val="0"/>
          <w:bCs w:val="0"/>
          <w:color w:val="000000" w:themeColor="text1"/>
          <w:sz w:val="24"/>
          <w:szCs w:val="24"/>
          <w:lang w:val="ru-RU"/>
        </w:rPr>
        <w:t>бедаквилина</w:t>
      </w:r>
      <w:proofErr w:type="spellEnd"/>
      <w:r w:rsidR="00637212" w:rsidRPr="008F54CF">
        <w:rPr>
          <w:b/>
          <w:bCs/>
          <w:color w:val="000000" w:themeColor="text1"/>
          <w:sz w:val="24"/>
          <w:szCs w:val="24"/>
          <w:lang w:val="ru-RU"/>
        </w:rPr>
        <w:t>.</w:t>
      </w:r>
    </w:p>
    <w:p w14:paraId="6F84ED8F" w14:textId="77777777" w:rsidR="00B04187" w:rsidRPr="008F54CF" w:rsidRDefault="009E50D4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rStyle w:val="ad"/>
          <w:b w:val="0"/>
          <w:bCs w:val="0"/>
          <w:i/>
          <w:iCs/>
          <w:color w:val="000000" w:themeColor="text1"/>
          <w:sz w:val="24"/>
          <w:szCs w:val="24"/>
          <w:lang w:val="ru-RU"/>
        </w:rPr>
        <w:t>в</w:t>
      </w:r>
      <w:r w:rsidR="00637212" w:rsidRPr="008F54CF">
        <w:rPr>
          <w:rStyle w:val="ad"/>
          <w:b w:val="0"/>
          <w:bCs w:val="0"/>
          <w:i/>
          <w:iCs/>
          <w:color w:val="000000" w:themeColor="text1"/>
          <w:sz w:val="24"/>
          <w:szCs w:val="24"/>
          <w:lang w:val="ru-RU"/>
        </w:rPr>
        <w:t>спомогательные вещества</w:t>
      </w:r>
      <w:r w:rsidR="00BE5F73" w:rsidRPr="008F54CF"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  <w:t xml:space="preserve">: </w:t>
      </w:r>
      <w:bookmarkStart w:id="4" w:name="6.2_Incompatibilities"/>
      <w:bookmarkEnd w:id="4"/>
      <w:r w:rsidR="007B417D" w:rsidRPr="008F54CF">
        <w:rPr>
          <w:rStyle w:val="ad"/>
          <w:b w:val="0"/>
          <w:bCs w:val="0"/>
          <w:iCs/>
          <w:color w:val="000000" w:themeColor="text1"/>
          <w:sz w:val="24"/>
          <w:szCs w:val="24"/>
          <w:lang w:val="ru-RU"/>
        </w:rPr>
        <w:t>л</w:t>
      </w:r>
      <w:r w:rsidR="007B417D" w:rsidRPr="008F54CF">
        <w:rPr>
          <w:color w:val="000000" w:themeColor="text1"/>
          <w:sz w:val="24"/>
          <w:szCs w:val="24"/>
          <w:lang w:val="ru-RU"/>
        </w:rPr>
        <w:t xml:space="preserve">актозы моногидрат около 143 мг, кукурузный крахмал, </w:t>
      </w:r>
      <w:proofErr w:type="spellStart"/>
      <w:r w:rsidR="007B417D" w:rsidRPr="008F54CF">
        <w:rPr>
          <w:color w:val="000000" w:themeColor="text1"/>
          <w:sz w:val="24"/>
          <w:szCs w:val="24"/>
          <w:lang w:val="ru-RU"/>
        </w:rPr>
        <w:t>г</w:t>
      </w:r>
      <w:r w:rsidR="00BE5F73" w:rsidRPr="008F54CF">
        <w:rPr>
          <w:color w:val="000000" w:themeColor="text1"/>
          <w:sz w:val="24"/>
          <w:szCs w:val="24"/>
          <w:lang w:val="ru-RU"/>
        </w:rPr>
        <w:t>идроксипропилметилцеллюлоза</w:t>
      </w:r>
      <w:proofErr w:type="spellEnd"/>
      <w:r w:rsidR="007B417D" w:rsidRPr="008F54CF">
        <w:rPr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="007B417D" w:rsidRPr="008F54CF">
        <w:rPr>
          <w:color w:val="000000" w:themeColor="text1"/>
          <w:sz w:val="24"/>
          <w:szCs w:val="24"/>
          <w:lang w:val="ru-RU"/>
        </w:rPr>
        <w:t>п</w:t>
      </w:r>
      <w:r w:rsidR="00BE5F73" w:rsidRPr="008F54CF">
        <w:rPr>
          <w:color w:val="000000" w:themeColor="text1"/>
          <w:sz w:val="24"/>
          <w:szCs w:val="24"/>
          <w:lang w:val="ru-RU"/>
        </w:rPr>
        <w:t>олисорбат</w:t>
      </w:r>
      <w:proofErr w:type="spellEnd"/>
      <w:r w:rsidR="007B417D" w:rsidRPr="008F54CF">
        <w:rPr>
          <w:color w:val="000000" w:themeColor="text1"/>
          <w:sz w:val="24"/>
          <w:szCs w:val="24"/>
          <w:lang w:val="ru-RU"/>
        </w:rPr>
        <w:t>, ц</w:t>
      </w:r>
      <w:r w:rsidR="00BE5F73" w:rsidRPr="008F54CF">
        <w:rPr>
          <w:color w:val="000000" w:themeColor="text1"/>
          <w:sz w:val="24"/>
          <w:szCs w:val="24"/>
          <w:lang w:val="ru-RU"/>
        </w:rPr>
        <w:t>еллюлоза микрокристаллическая</w:t>
      </w:r>
      <w:r w:rsidR="007B417D" w:rsidRPr="008F54CF">
        <w:rPr>
          <w:i/>
          <w:iCs/>
          <w:color w:val="000000" w:themeColor="text1"/>
          <w:sz w:val="24"/>
          <w:szCs w:val="24"/>
          <w:lang w:val="ru-RU"/>
        </w:rPr>
        <w:t xml:space="preserve">, </w:t>
      </w:r>
      <w:r w:rsidR="007B417D" w:rsidRPr="008F54CF">
        <w:rPr>
          <w:iCs/>
          <w:color w:val="000000" w:themeColor="text1"/>
          <w:sz w:val="24"/>
          <w:szCs w:val="24"/>
          <w:lang w:val="ru-RU"/>
        </w:rPr>
        <w:t>н</w:t>
      </w:r>
      <w:r w:rsidR="007B417D" w:rsidRPr="008F54CF">
        <w:rPr>
          <w:color w:val="000000" w:themeColor="text1"/>
          <w:sz w:val="24"/>
          <w:szCs w:val="24"/>
          <w:lang w:val="ru-RU"/>
        </w:rPr>
        <w:t xml:space="preserve">атрия </w:t>
      </w:r>
      <w:proofErr w:type="spellStart"/>
      <w:r w:rsidR="007B417D" w:rsidRPr="008F54CF">
        <w:rPr>
          <w:color w:val="000000" w:themeColor="text1"/>
          <w:sz w:val="24"/>
          <w:szCs w:val="24"/>
          <w:lang w:val="ru-RU"/>
        </w:rPr>
        <w:t>кроскармеллоза</w:t>
      </w:r>
      <w:proofErr w:type="spellEnd"/>
      <w:proofErr w:type="gramStart"/>
      <w:r w:rsidR="007B417D" w:rsidRPr="008F54CF">
        <w:rPr>
          <w:color w:val="000000" w:themeColor="text1"/>
          <w:sz w:val="24"/>
          <w:szCs w:val="24"/>
          <w:lang w:val="ru-RU"/>
        </w:rPr>
        <w:t xml:space="preserve"> ,</w:t>
      </w:r>
      <w:proofErr w:type="gramEnd"/>
      <w:r w:rsidR="007B417D" w:rsidRPr="008F54CF">
        <w:rPr>
          <w:color w:val="000000" w:themeColor="text1"/>
          <w:sz w:val="24"/>
          <w:szCs w:val="24"/>
          <w:lang w:val="ru-RU"/>
        </w:rPr>
        <w:t xml:space="preserve"> кремния диоксид коллоидный, м</w:t>
      </w:r>
      <w:r w:rsidR="00BE5F73" w:rsidRPr="008F54CF">
        <w:rPr>
          <w:color w:val="000000" w:themeColor="text1"/>
          <w:sz w:val="24"/>
          <w:szCs w:val="24"/>
          <w:lang w:val="ru-RU"/>
        </w:rPr>
        <w:t xml:space="preserve">агния </w:t>
      </w:r>
      <w:proofErr w:type="spellStart"/>
      <w:r w:rsidR="00BE5F73" w:rsidRPr="008F54CF">
        <w:rPr>
          <w:color w:val="000000" w:themeColor="text1"/>
          <w:sz w:val="24"/>
          <w:szCs w:val="24"/>
          <w:lang w:val="ru-RU"/>
        </w:rPr>
        <w:t>стеарат</w:t>
      </w:r>
      <w:proofErr w:type="spellEnd"/>
      <w:r w:rsidR="00B04187" w:rsidRPr="008F54CF">
        <w:rPr>
          <w:color w:val="000000" w:themeColor="text1"/>
          <w:sz w:val="24"/>
          <w:szCs w:val="24"/>
          <w:lang w:val="ru-RU"/>
        </w:rPr>
        <w:t xml:space="preserve">. </w:t>
      </w:r>
    </w:p>
    <w:p w14:paraId="4988AFF7" w14:textId="4C6DF034" w:rsidR="00BE5F73" w:rsidRPr="008F54CF" w:rsidRDefault="00BE5F73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 Данный лекарственный препарат практически не содержит натрия. Он содержит менее 1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ммоль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натрия (23 мг) в одной таблетке.</w:t>
      </w:r>
    </w:p>
    <w:p w14:paraId="30A4E2F8" w14:textId="77777777" w:rsidR="00076F84" w:rsidRDefault="00076F84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</w:p>
    <w:p w14:paraId="739F0208" w14:textId="77777777" w:rsidR="00BE5F73" w:rsidRPr="008F54CF" w:rsidRDefault="00BE5F73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Описание внешнего вида, запаха, вкуса</w:t>
      </w:r>
    </w:p>
    <w:p w14:paraId="59346145" w14:textId="77777777" w:rsidR="00BE5F73" w:rsidRPr="008F54CF" w:rsidRDefault="00BE5F73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Таблетки белого или почти белого цвета, круглые, двояковыпуклые, без покрытия, с гравировкой «</w:t>
      </w:r>
      <w:r w:rsidRPr="008F54CF">
        <w:rPr>
          <w:color w:val="000000" w:themeColor="text1"/>
          <w:sz w:val="24"/>
          <w:szCs w:val="24"/>
        </w:rPr>
        <w:t>MB</w:t>
      </w:r>
      <w:r w:rsidRPr="008F54CF">
        <w:rPr>
          <w:color w:val="000000" w:themeColor="text1"/>
          <w:sz w:val="24"/>
          <w:szCs w:val="24"/>
          <w:lang w:val="ru-RU"/>
        </w:rPr>
        <w:t xml:space="preserve"> 1» на одной стороне и гладкой поверхностью на другой.</w:t>
      </w:r>
    </w:p>
    <w:p w14:paraId="49846750" w14:textId="77777777" w:rsidR="00BE5F73" w:rsidRPr="008F54CF" w:rsidRDefault="00BE5F73" w:rsidP="007F61C7">
      <w:pPr>
        <w:jc w:val="both"/>
        <w:rPr>
          <w:rStyle w:val="ad"/>
          <w:color w:val="000000" w:themeColor="text1"/>
          <w:sz w:val="24"/>
          <w:szCs w:val="24"/>
          <w:lang w:val="ru-RU"/>
        </w:rPr>
      </w:pPr>
    </w:p>
    <w:p w14:paraId="66AE7A14" w14:textId="77777777" w:rsidR="00BE5F73" w:rsidRPr="008F54CF" w:rsidRDefault="00BE5F73" w:rsidP="007F61C7">
      <w:pPr>
        <w:jc w:val="both"/>
        <w:rPr>
          <w:b/>
          <w:color w:val="000000" w:themeColor="text1"/>
          <w:sz w:val="24"/>
          <w:szCs w:val="24"/>
          <w:lang w:val="ru-RU" w:eastAsia="ru-RU"/>
        </w:rPr>
      </w:pPr>
      <w:r w:rsidRPr="008F54CF">
        <w:rPr>
          <w:b/>
          <w:color w:val="000000" w:themeColor="text1"/>
          <w:sz w:val="24"/>
          <w:szCs w:val="24"/>
          <w:lang w:val="ru-RU" w:eastAsia="ru-RU"/>
        </w:rPr>
        <w:t>Форма  выпуска  и упаковка</w:t>
      </w:r>
    </w:p>
    <w:p w14:paraId="10CAFBD4" w14:textId="77777777" w:rsidR="007F61C7" w:rsidRDefault="009E50D4" w:rsidP="007F61C7">
      <w:pPr>
        <w:jc w:val="both"/>
        <w:rPr>
          <w:i/>
          <w:iCs/>
          <w:color w:val="000000" w:themeColor="text1"/>
          <w:sz w:val="24"/>
          <w:szCs w:val="24"/>
        </w:rPr>
      </w:pPr>
      <w:bookmarkStart w:id="5" w:name="4.6_Fertility,_pregnancy_and_breast-feed"/>
      <w:bookmarkStart w:id="6" w:name="4.7_Effects_on_ability_to_drive_and_use_"/>
      <w:bookmarkEnd w:id="5"/>
      <w:bookmarkEnd w:id="6"/>
      <w:r w:rsidRPr="008F54CF">
        <w:rPr>
          <w:rStyle w:val="ad"/>
          <w:b w:val="0"/>
          <w:bCs w:val="0"/>
          <w:i/>
          <w:iCs/>
          <w:color w:val="000000" w:themeColor="text1"/>
          <w:sz w:val="24"/>
          <w:szCs w:val="24"/>
          <w:lang w:val="ru-RU"/>
        </w:rPr>
        <w:t xml:space="preserve">Банка из </w:t>
      </w:r>
      <w:r w:rsidRPr="008F54CF">
        <w:rPr>
          <w:i/>
          <w:iCs/>
          <w:color w:val="000000" w:themeColor="text1"/>
          <w:sz w:val="24"/>
          <w:szCs w:val="24"/>
          <w:lang w:val="ru-RU"/>
        </w:rPr>
        <w:t>полиэтилена высокой плотности.</w:t>
      </w:r>
    </w:p>
    <w:p w14:paraId="61E4430F" w14:textId="648E9564" w:rsidR="009E50D4" w:rsidRPr="008F54CF" w:rsidRDefault="009E50D4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Круглая непрозрачная белая пластиковая банка из полиэтилена высокой плотности, содержащая 188 таблеток. Банка снабжена алюминиево-пластиковой фольгой-уплотнителем и белой пластиковой (полипропиленовой) крышкой, защищённой от вскрытия детьми.</w:t>
      </w:r>
    </w:p>
    <w:p w14:paraId="0CED9442" w14:textId="77777777" w:rsidR="009E50D4" w:rsidRPr="008F54CF" w:rsidRDefault="009E50D4" w:rsidP="007F61C7">
      <w:pPr>
        <w:jc w:val="both"/>
        <w:rPr>
          <w:i/>
          <w:iCs/>
          <w:color w:val="000000" w:themeColor="text1"/>
          <w:sz w:val="24"/>
          <w:szCs w:val="24"/>
          <w:lang w:val="ru-RU"/>
        </w:rPr>
      </w:pPr>
    </w:p>
    <w:p w14:paraId="115D5A7B" w14:textId="77777777" w:rsidR="009E50D4" w:rsidRPr="008F54CF" w:rsidRDefault="009E50D4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Контурная ячейковая упаковка из фольги алюминиевой</w:t>
      </w:r>
      <w:r w:rsidRPr="008F54CF">
        <w:rPr>
          <w:color w:val="000000" w:themeColor="text1"/>
          <w:sz w:val="24"/>
          <w:szCs w:val="24"/>
          <w:lang w:val="ru-RU"/>
        </w:rPr>
        <w:t xml:space="preserve"> по 10 таблеток. Выпускаются в картонной пачке по 3  контурных ячейковых упаковки из фольги алюминиевой по 10 таблеток и  10 контурных ячейковых упаковки из фольги алюминиевой по 10 таблеток.</w:t>
      </w:r>
    </w:p>
    <w:p w14:paraId="6901E138" w14:textId="77777777" w:rsidR="00384B74" w:rsidRPr="008F54CF" w:rsidRDefault="00384B74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656AEF08" w14:textId="522F2AD5" w:rsidR="00384B74" w:rsidRPr="008F54CF" w:rsidRDefault="00384B74" w:rsidP="007F61C7">
      <w:pPr>
        <w:jc w:val="both"/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 xml:space="preserve">Срок </w:t>
      </w:r>
      <w:bookmarkStart w:id="7" w:name="6.3_Shelf_life"/>
      <w:bookmarkEnd w:id="7"/>
      <w:r w:rsidR="009E50D4" w:rsidRPr="008F54CF">
        <w:rPr>
          <w:rFonts w:eastAsia="TimesNewRomanPSMT"/>
          <w:b/>
          <w:bCs/>
          <w:color w:val="000000" w:themeColor="text1"/>
          <w:sz w:val="24"/>
          <w:szCs w:val="24"/>
          <w:lang w:val="ru-RU"/>
        </w:rPr>
        <w:t>хранения</w:t>
      </w:r>
    </w:p>
    <w:p w14:paraId="33DF3E3B" w14:textId="38BF779B" w:rsidR="008C2524" w:rsidRPr="008F54CF" w:rsidRDefault="00384B74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48 месяцев </w:t>
      </w:r>
    </w:p>
    <w:p w14:paraId="0536C1B7" w14:textId="6CA05F1A" w:rsidR="00384B74" w:rsidRPr="008F54CF" w:rsidRDefault="00126DAE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i/>
          <w:iCs/>
          <w:color w:val="000000" w:themeColor="text1"/>
          <w:sz w:val="24"/>
          <w:szCs w:val="24"/>
          <w:lang w:val="ru-RU"/>
        </w:rPr>
        <w:t>Период использования (для  банки  из полиэтилена высокой прочности( ПЭВП))</w:t>
      </w:r>
      <w:r w:rsidR="00384B74" w:rsidRPr="008F54CF">
        <w:rPr>
          <w:i/>
          <w:iCs/>
          <w:color w:val="000000" w:themeColor="text1"/>
          <w:sz w:val="24"/>
          <w:szCs w:val="24"/>
          <w:lang w:val="ru-RU"/>
        </w:rPr>
        <w:br/>
      </w:r>
      <w:r w:rsidR="00384B74" w:rsidRPr="008F54CF">
        <w:rPr>
          <w:color w:val="000000" w:themeColor="text1"/>
          <w:sz w:val="24"/>
          <w:szCs w:val="24"/>
          <w:lang w:val="ru-RU"/>
        </w:rPr>
        <w:t>После первого вскрытия  препарат следует утилизировать через 90 дней.</w:t>
      </w:r>
    </w:p>
    <w:p w14:paraId="7BB6D00D" w14:textId="77777777" w:rsidR="00384B74" w:rsidRPr="008F54CF" w:rsidRDefault="00384B74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7F5CE12E" w14:textId="77777777" w:rsidR="009E50D4" w:rsidRPr="008F54CF" w:rsidRDefault="009E50D4" w:rsidP="007F61C7">
      <w:pPr>
        <w:jc w:val="both"/>
        <w:rPr>
          <w:color w:val="000000" w:themeColor="text1"/>
          <w:sz w:val="24"/>
          <w:szCs w:val="24"/>
          <w:lang w:val="ru-RU"/>
        </w:rPr>
      </w:pPr>
      <w:bookmarkStart w:id="8" w:name="6.4_Special_precautions_for_storage"/>
      <w:bookmarkEnd w:id="8"/>
      <w:r w:rsidRPr="008F54CF">
        <w:rPr>
          <w:b/>
          <w:i/>
          <w:color w:val="000000" w:themeColor="text1"/>
          <w:sz w:val="24"/>
          <w:szCs w:val="24"/>
          <w:lang w:val="ru-RU" w:eastAsia="ru-RU"/>
        </w:rPr>
        <w:t>Условия хранения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4D060926" w14:textId="77777777" w:rsidR="007F61C7" w:rsidRDefault="00384B74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  <w:lang w:val="ru-RU"/>
        </w:rPr>
        <w:t>Не хранить при температуре выше 30 °</w:t>
      </w:r>
      <w:r w:rsidRPr="008F54CF">
        <w:rPr>
          <w:color w:val="000000" w:themeColor="text1"/>
          <w:sz w:val="24"/>
          <w:szCs w:val="24"/>
        </w:rPr>
        <w:t>C</w:t>
      </w:r>
      <w:r w:rsidRPr="008F54CF">
        <w:rPr>
          <w:color w:val="000000" w:themeColor="text1"/>
          <w:sz w:val="24"/>
          <w:szCs w:val="24"/>
          <w:lang w:val="ru-RU"/>
        </w:rPr>
        <w:t>.</w:t>
      </w:r>
    </w:p>
    <w:p w14:paraId="169A01DA" w14:textId="5916A265" w:rsidR="008C2524" w:rsidRPr="008F54CF" w:rsidRDefault="00384B74" w:rsidP="007F61C7">
      <w:pPr>
        <w:jc w:val="both"/>
        <w:rPr>
          <w:color w:val="000000" w:themeColor="text1"/>
          <w:spacing w:val="-2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Хранить таблетки в оригинальной упаковке для защиты от света.</w:t>
      </w:r>
    </w:p>
    <w:p w14:paraId="23755581" w14:textId="77777777" w:rsidR="00D81611" w:rsidRPr="008F54CF" w:rsidRDefault="00D81611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63FD5C90" w14:textId="77777777" w:rsidR="009E50D4" w:rsidRPr="008F54CF" w:rsidRDefault="009E50D4" w:rsidP="007F61C7">
      <w:pPr>
        <w:jc w:val="both"/>
        <w:rPr>
          <w:rFonts w:eastAsiaTheme="minorHAnsi"/>
          <w:b/>
          <w:bCs/>
          <w:color w:val="000000" w:themeColor="text1"/>
          <w:sz w:val="24"/>
          <w:szCs w:val="24"/>
          <w:lang w:val="ru-RU"/>
        </w:rPr>
      </w:pPr>
      <w:bookmarkStart w:id="9" w:name="6.5_Nature_and_contents_of_container"/>
      <w:bookmarkStart w:id="10" w:name="6.6_Special_precautions_for_disposal_and"/>
      <w:bookmarkEnd w:id="9"/>
      <w:bookmarkEnd w:id="10"/>
      <w:r w:rsidRPr="008F54CF">
        <w:rPr>
          <w:rFonts w:eastAsiaTheme="minorHAnsi"/>
          <w:b/>
          <w:bCs/>
          <w:color w:val="000000" w:themeColor="text1"/>
          <w:sz w:val="24"/>
          <w:szCs w:val="24"/>
          <w:lang w:val="ru-RU"/>
        </w:rPr>
        <w:t xml:space="preserve">Условия отпуска из аптек </w:t>
      </w:r>
    </w:p>
    <w:p w14:paraId="0878C51F" w14:textId="6F1539EC" w:rsidR="00AE42B9" w:rsidRPr="008F54CF" w:rsidRDefault="00076F84" w:rsidP="007F61C7">
      <w:pPr>
        <w:jc w:val="both"/>
        <w:rPr>
          <w:bCs/>
          <w:color w:val="000000" w:themeColor="text1"/>
          <w:sz w:val="24"/>
          <w:szCs w:val="24"/>
          <w:lang w:val="ru-RU"/>
        </w:rPr>
      </w:pPr>
      <w:r>
        <w:rPr>
          <w:rFonts w:eastAsiaTheme="minorHAnsi"/>
          <w:bCs/>
          <w:color w:val="000000" w:themeColor="text1"/>
          <w:sz w:val="24"/>
          <w:szCs w:val="24"/>
          <w:lang w:val="ru-RU"/>
        </w:rPr>
        <w:t>П</w:t>
      </w:r>
      <w:r w:rsidR="009E50D4" w:rsidRPr="008F54CF">
        <w:rPr>
          <w:rFonts w:eastAsiaTheme="minorHAnsi"/>
          <w:bCs/>
          <w:color w:val="000000" w:themeColor="text1"/>
          <w:sz w:val="24"/>
          <w:szCs w:val="24"/>
          <w:lang w:val="ru-RU"/>
        </w:rPr>
        <w:t>о рецепту</w:t>
      </w:r>
    </w:p>
    <w:p w14:paraId="640CA76E" w14:textId="103B10ED" w:rsidR="008C2524" w:rsidRPr="008F54CF" w:rsidRDefault="008C2524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3B851507" w14:textId="1FC9CB9B" w:rsidR="009E50D4" w:rsidRPr="008F54CF" w:rsidRDefault="009E50D4" w:rsidP="007F61C7">
      <w:pPr>
        <w:jc w:val="both"/>
        <w:rPr>
          <w:b/>
          <w:color w:val="000000" w:themeColor="text1"/>
          <w:sz w:val="24"/>
          <w:szCs w:val="24"/>
          <w:lang w:eastAsia="ru-RU"/>
        </w:rPr>
      </w:pPr>
      <w:bookmarkStart w:id="11" w:name="7._SUPPLIER"/>
      <w:bookmarkEnd w:id="11"/>
      <w:r w:rsidRPr="008F54CF">
        <w:rPr>
          <w:b/>
          <w:color w:val="000000" w:themeColor="text1"/>
          <w:sz w:val="24"/>
          <w:szCs w:val="24"/>
          <w:lang w:val="ru-RU" w:eastAsia="ru-RU"/>
        </w:rPr>
        <w:t>Сведения</w:t>
      </w:r>
      <w:r w:rsidRPr="008F54CF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8F54CF">
        <w:rPr>
          <w:b/>
          <w:color w:val="000000" w:themeColor="text1"/>
          <w:sz w:val="24"/>
          <w:szCs w:val="24"/>
          <w:lang w:val="ru-RU" w:eastAsia="ru-RU"/>
        </w:rPr>
        <w:t>о</w:t>
      </w:r>
      <w:r w:rsidRPr="008F54CF">
        <w:rPr>
          <w:b/>
          <w:color w:val="000000" w:themeColor="text1"/>
          <w:sz w:val="24"/>
          <w:szCs w:val="24"/>
          <w:lang w:eastAsia="ru-RU"/>
        </w:rPr>
        <w:t xml:space="preserve"> </w:t>
      </w:r>
      <w:r w:rsidRPr="008F54CF">
        <w:rPr>
          <w:b/>
          <w:color w:val="000000" w:themeColor="text1"/>
          <w:sz w:val="24"/>
          <w:szCs w:val="24"/>
          <w:lang w:val="ru-RU" w:eastAsia="ru-RU"/>
        </w:rPr>
        <w:t>производителе</w:t>
      </w:r>
      <w:r w:rsidRPr="008F54CF">
        <w:rPr>
          <w:b/>
          <w:color w:val="000000" w:themeColor="text1"/>
          <w:sz w:val="24"/>
          <w:szCs w:val="24"/>
          <w:lang w:eastAsia="ru-RU"/>
        </w:rPr>
        <w:t xml:space="preserve"> </w:t>
      </w:r>
    </w:p>
    <w:p w14:paraId="7FCC280B" w14:textId="6E36A5A1" w:rsidR="007A6846" w:rsidRPr="008F54CF" w:rsidRDefault="007A6846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</w:rPr>
        <w:t>MSN Laboratories Private Limited,</w:t>
      </w:r>
    </w:p>
    <w:p w14:paraId="56293A69" w14:textId="77777777" w:rsidR="007A6846" w:rsidRPr="008F54CF" w:rsidRDefault="007A6846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</w:rPr>
        <w:t>Formulation Division,</w:t>
      </w:r>
    </w:p>
    <w:p w14:paraId="06B2B746" w14:textId="77777777" w:rsidR="007A6846" w:rsidRPr="008F54CF" w:rsidRDefault="007A6846" w:rsidP="007F61C7">
      <w:pPr>
        <w:jc w:val="both"/>
        <w:rPr>
          <w:color w:val="000000" w:themeColor="text1"/>
          <w:sz w:val="24"/>
          <w:szCs w:val="24"/>
        </w:rPr>
      </w:pPr>
      <w:r w:rsidRPr="008F54CF">
        <w:rPr>
          <w:color w:val="000000" w:themeColor="text1"/>
          <w:sz w:val="24"/>
          <w:szCs w:val="24"/>
        </w:rPr>
        <w:t xml:space="preserve">Unit-II, </w:t>
      </w:r>
      <w:proofErr w:type="spellStart"/>
      <w:r w:rsidRPr="008F54CF">
        <w:rPr>
          <w:color w:val="000000" w:themeColor="text1"/>
          <w:sz w:val="24"/>
          <w:szCs w:val="24"/>
        </w:rPr>
        <w:t>Sy</w:t>
      </w:r>
      <w:proofErr w:type="spellEnd"/>
      <w:r w:rsidRPr="008F54CF">
        <w:rPr>
          <w:color w:val="000000" w:themeColor="text1"/>
          <w:sz w:val="24"/>
          <w:szCs w:val="24"/>
        </w:rPr>
        <w:t>. No.1277 &amp; 1319 to 1324,</w:t>
      </w:r>
    </w:p>
    <w:p w14:paraId="112DA5D7" w14:textId="77777777" w:rsidR="007A6846" w:rsidRPr="008F54CF" w:rsidRDefault="007A6846" w:rsidP="007F61C7">
      <w:pPr>
        <w:jc w:val="both"/>
        <w:rPr>
          <w:color w:val="000000" w:themeColor="text1"/>
          <w:sz w:val="24"/>
          <w:szCs w:val="24"/>
        </w:rPr>
      </w:pPr>
      <w:proofErr w:type="spellStart"/>
      <w:r w:rsidRPr="008F54CF">
        <w:rPr>
          <w:color w:val="000000" w:themeColor="text1"/>
          <w:sz w:val="24"/>
          <w:szCs w:val="24"/>
        </w:rPr>
        <w:t>Nandigama</w:t>
      </w:r>
      <w:proofErr w:type="spellEnd"/>
      <w:r w:rsidRPr="008F54CF">
        <w:rPr>
          <w:color w:val="000000" w:themeColor="text1"/>
          <w:sz w:val="24"/>
          <w:szCs w:val="24"/>
        </w:rPr>
        <w:t xml:space="preserve"> (Village &amp; </w:t>
      </w:r>
      <w:proofErr w:type="spellStart"/>
      <w:r w:rsidRPr="008F54CF">
        <w:rPr>
          <w:color w:val="000000" w:themeColor="text1"/>
          <w:sz w:val="24"/>
          <w:szCs w:val="24"/>
        </w:rPr>
        <w:t>Mandal</w:t>
      </w:r>
      <w:proofErr w:type="spellEnd"/>
      <w:r w:rsidRPr="008F54CF">
        <w:rPr>
          <w:color w:val="000000" w:themeColor="text1"/>
          <w:sz w:val="24"/>
          <w:szCs w:val="24"/>
        </w:rPr>
        <w:t>),</w:t>
      </w:r>
    </w:p>
    <w:p w14:paraId="1F3FDF6E" w14:textId="77777777" w:rsidR="007A6846" w:rsidRPr="008F54CF" w:rsidRDefault="007A6846" w:rsidP="007F61C7">
      <w:pPr>
        <w:jc w:val="both"/>
        <w:rPr>
          <w:color w:val="000000" w:themeColor="text1"/>
          <w:sz w:val="24"/>
          <w:szCs w:val="24"/>
        </w:rPr>
      </w:pPr>
      <w:proofErr w:type="spellStart"/>
      <w:r w:rsidRPr="008F54CF">
        <w:rPr>
          <w:color w:val="000000" w:themeColor="text1"/>
          <w:sz w:val="24"/>
          <w:szCs w:val="24"/>
        </w:rPr>
        <w:t>Rangareddy</w:t>
      </w:r>
      <w:proofErr w:type="spellEnd"/>
      <w:r w:rsidRPr="008F54CF">
        <w:rPr>
          <w:color w:val="000000" w:themeColor="text1"/>
          <w:sz w:val="24"/>
          <w:szCs w:val="24"/>
        </w:rPr>
        <w:t xml:space="preserve"> District -509228,</w:t>
      </w:r>
    </w:p>
    <w:p w14:paraId="48A6A757" w14:textId="706B4CE2" w:rsidR="00AE42B9" w:rsidRPr="008F54CF" w:rsidRDefault="007A6846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</w:rPr>
        <w:t>Telangana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</w:rPr>
        <w:t>State</w:t>
      </w:r>
      <w:r w:rsidR="00AE42B9" w:rsidRPr="008F54CF">
        <w:rPr>
          <w:color w:val="000000" w:themeColor="text1"/>
          <w:sz w:val="24"/>
          <w:szCs w:val="24"/>
          <w:lang w:val="ru-RU"/>
        </w:rPr>
        <w:t>, Индия</w:t>
      </w:r>
    </w:p>
    <w:p w14:paraId="5EAFA8B7" w14:textId="77777777" w:rsidR="00AE42B9" w:rsidRPr="008F54CF" w:rsidRDefault="00AE42B9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Эл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п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очта: </w:t>
      </w:r>
      <w:hyperlink r:id="rId10" w:history="1">
        <w:r w:rsidRPr="008F54CF">
          <w:rPr>
            <w:rStyle w:val="af0"/>
            <w:color w:val="000000" w:themeColor="text1"/>
            <w:sz w:val="24"/>
            <w:szCs w:val="24"/>
          </w:rPr>
          <w:t>formulation</w:t>
        </w:r>
        <w:r w:rsidRPr="008F54CF">
          <w:rPr>
            <w:rStyle w:val="af0"/>
            <w:color w:val="000000" w:themeColor="text1"/>
            <w:sz w:val="24"/>
            <w:szCs w:val="24"/>
            <w:lang w:val="ru-RU"/>
          </w:rPr>
          <w:t>@</w:t>
        </w:r>
        <w:proofErr w:type="spellStart"/>
        <w:r w:rsidRPr="008F54CF">
          <w:rPr>
            <w:rStyle w:val="af0"/>
            <w:color w:val="000000" w:themeColor="text1"/>
            <w:sz w:val="24"/>
            <w:szCs w:val="24"/>
          </w:rPr>
          <w:t>msnlabs</w:t>
        </w:r>
        <w:proofErr w:type="spellEnd"/>
        <w:r w:rsidRPr="008F54CF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r w:rsidRPr="008F54CF">
          <w:rPr>
            <w:rStyle w:val="af0"/>
            <w:color w:val="000000" w:themeColor="text1"/>
            <w:sz w:val="24"/>
            <w:szCs w:val="24"/>
          </w:rPr>
          <w:t>com</w:t>
        </w:r>
      </w:hyperlink>
    </w:p>
    <w:p w14:paraId="0F6F3BDB" w14:textId="77777777" w:rsidR="00EA1FEB" w:rsidRPr="008F54CF" w:rsidRDefault="00EA1FEB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7CFABD4B" w14:textId="65134E7A" w:rsidR="00EA1FEB" w:rsidRPr="008F54CF" w:rsidRDefault="009E50D4" w:rsidP="007F61C7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>Держатель регистрационного удостоверения</w:t>
      </w:r>
    </w:p>
    <w:p w14:paraId="374A755D" w14:textId="5F74EF92" w:rsidR="00B42A03" w:rsidRPr="008F54CF" w:rsidRDefault="00451808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ТОО «</w:t>
      </w:r>
      <w:r w:rsidRPr="008F54CF">
        <w:rPr>
          <w:color w:val="000000" w:themeColor="text1"/>
          <w:sz w:val="24"/>
          <w:szCs w:val="24"/>
        </w:rPr>
        <w:t>MSN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8F54CF">
        <w:rPr>
          <w:color w:val="000000" w:themeColor="text1"/>
          <w:sz w:val="24"/>
          <w:szCs w:val="24"/>
        </w:rPr>
        <w:t>Pharmalab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»</w:t>
      </w:r>
    </w:p>
    <w:p w14:paraId="45FE0B75" w14:textId="77777777" w:rsidR="003708DD" w:rsidRPr="008F54CF" w:rsidRDefault="003708D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Казахстан, город Алматы,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Бостандыкский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район,</w:t>
      </w:r>
    </w:p>
    <w:p w14:paraId="3B68FEA6" w14:textId="1F4AFE50" w:rsidR="003708DD" w:rsidRPr="008F54CF" w:rsidRDefault="003708DD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Микрорайон </w:t>
      </w:r>
      <w:proofErr w:type="spellStart"/>
      <w:r w:rsidRPr="008F54CF">
        <w:rPr>
          <w:color w:val="000000" w:themeColor="text1"/>
          <w:sz w:val="24"/>
          <w:szCs w:val="24"/>
          <w:lang w:val="ru-RU"/>
        </w:rPr>
        <w:t>Мирас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, дом 154, почтовый индекс</w:t>
      </w:r>
      <w:r w:rsidR="00196ED7"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</w:rPr>
        <w:t>A</w:t>
      </w:r>
      <w:r w:rsidRPr="008F54CF">
        <w:rPr>
          <w:color w:val="000000" w:themeColor="text1"/>
          <w:sz w:val="24"/>
          <w:szCs w:val="24"/>
          <w:lang w:val="ru-RU"/>
        </w:rPr>
        <w:t>15</w:t>
      </w:r>
      <w:r w:rsidRPr="008F54CF">
        <w:rPr>
          <w:color w:val="000000" w:themeColor="text1"/>
          <w:sz w:val="24"/>
          <w:szCs w:val="24"/>
        </w:rPr>
        <w:t>D</w:t>
      </w:r>
      <w:r w:rsidRPr="008F54CF">
        <w:rPr>
          <w:color w:val="000000" w:themeColor="text1"/>
          <w:sz w:val="24"/>
          <w:szCs w:val="24"/>
          <w:lang w:val="ru-RU"/>
        </w:rPr>
        <w:t>0</w:t>
      </w:r>
      <w:r w:rsidRPr="008F54CF">
        <w:rPr>
          <w:color w:val="000000" w:themeColor="text1"/>
          <w:sz w:val="24"/>
          <w:szCs w:val="24"/>
        </w:rPr>
        <w:t>H</w:t>
      </w:r>
      <w:r w:rsidRPr="008F54CF">
        <w:rPr>
          <w:color w:val="000000" w:themeColor="text1"/>
          <w:sz w:val="24"/>
          <w:szCs w:val="24"/>
          <w:lang w:val="ru-RU"/>
        </w:rPr>
        <w:t>5</w:t>
      </w:r>
    </w:p>
    <w:p w14:paraId="0EDA5B39" w14:textId="3F6E8015" w:rsidR="00196ED7" w:rsidRPr="008F54CF" w:rsidRDefault="00987160" w:rsidP="007F61C7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Эл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.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proofErr w:type="gramStart"/>
      <w:r w:rsidRPr="008F54CF">
        <w:rPr>
          <w:color w:val="000000" w:themeColor="text1"/>
          <w:sz w:val="24"/>
          <w:szCs w:val="24"/>
          <w:lang w:val="ru-RU"/>
        </w:rPr>
        <w:t>п</w:t>
      </w:r>
      <w:proofErr w:type="gramEnd"/>
      <w:r w:rsidRPr="008F54CF">
        <w:rPr>
          <w:color w:val="000000" w:themeColor="text1"/>
          <w:sz w:val="24"/>
          <w:szCs w:val="24"/>
          <w:lang w:val="ru-RU"/>
        </w:rPr>
        <w:t xml:space="preserve">очта: </w:t>
      </w:r>
      <w:hyperlink r:id="rId11" w:history="1">
        <w:r w:rsidRPr="008F54CF">
          <w:rPr>
            <w:rStyle w:val="af0"/>
            <w:color w:val="000000" w:themeColor="text1"/>
            <w:sz w:val="24"/>
            <w:szCs w:val="24"/>
          </w:rPr>
          <w:t>msnpharmalab</w:t>
        </w:r>
        <w:r w:rsidRPr="008F54CF">
          <w:rPr>
            <w:rStyle w:val="af0"/>
            <w:color w:val="000000" w:themeColor="text1"/>
            <w:sz w:val="24"/>
            <w:szCs w:val="24"/>
            <w:lang w:val="ru-RU"/>
          </w:rPr>
          <w:t>@</w:t>
        </w:r>
        <w:r w:rsidRPr="008F54CF">
          <w:rPr>
            <w:rStyle w:val="af0"/>
            <w:color w:val="000000" w:themeColor="text1"/>
            <w:sz w:val="24"/>
            <w:szCs w:val="24"/>
          </w:rPr>
          <w:t>outlook</w:t>
        </w:r>
        <w:r w:rsidRPr="008F54CF">
          <w:rPr>
            <w:rStyle w:val="af0"/>
            <w:color w:val="000000" w:themeColor="text1"/>
            <w:sz w:val="24"/>
            <w:szCs w:val="24"/>
            <w:lang w:val="ru-RU"/>
          </w:rPr>
          <w:t>.</w:t>
        </w:r>
        <w:r w:rsidRPr="008F54CF">
          <w:rPr>
            <w:rStyle w:val="af0"/>
            <w:color w:val="000000" w:themeColor="text1"/>
            <w:sz w:val="24"/>
            <w:szCs w:val="24"/>
          </w:rPr>
          <w:t>com</w:t>
        </w:r>
      </w:hyperlink>
      <w:r w:rsidRPr="008F54CF">
        <w:rPr>
          <w:color w:val="000000" w:themeColor="text1"/>
          <w:sz w:val="24"/>
          <w:szCs w:val="24"/>
          <w:lang w:val="ru-RU"/>
        </w:rPr>
        <w:t xml:space="preserve"> </w:t>
      </w:r>
      <w:r w:rsidRPr="008F54CF">
        <w:rPr>
          <w:color w:val="000000" w:themeColor="text1"/>
          <w:sz w:val="24"/>
          <w:szCs w:val="24"/>
        </w:rPr>
        <w:t> </w:t>
      </w:r>
    </w:p>
    <w:p w14:paraId="5AE2E38D" w14:textId="24FA0B30" w:rsidR="00706832" w:rsidRPr="008F54CF" w:rsidRDefault="00706832" w:rsidP="007F61C7">
      <w:pPr>
        <w:jc w:val="both"/>
        <w:rPr>
          <w:color w:val="000000" w:themeColor="text1"/>
          <w:sz w:val="24"/>
          <w:szCs w:val="24"/>
          <w:lang w:val="ru-RU"/>
        </w:rPr>
      </w:pPr>
    </w:p>
    <w:p w14:paraId="23C4DCC5" w14:textId="77777777" w:rsidR="009E50D4" w:rsidRPr="008F54CF" w:rsidRDefault="009E50D4" w:rsidP="00B3786A">
      <w:pPr>
        <w:jc w:val="both"/>
        <w:rPr>
          <w:b/>
          <w:bCs/>
          <w:color w:val="000000" w:themeColor="text1"/>
          <w:sz w:val="24"/>
          <w:szCs w:val="24"/>
          <w:lang w:val="ru-RU"/>
        </w:rPr>
      </w:pPr>
      <w:r w:rsidRPr="008F54CF">
        <w:rPr>
          <w:b/>
          <w:bCs/>
          <w:color w:val="000000" w:themeColor="text1"/>
          <w:sz w:val="24"/>
          <w:szCs w:val="24"/>
          <w:lang w:val="ru-RU"/>
        </w:rPr>
        <w:t xml:space="preserve">Наименование, адрес и контактные данные  (телефон,  электронная  почта) организации на территории Республики Казахстан, принимающей претензии (предложения)  по качеству лекарственных  средств  от потребителей и  ответственной за пострегистрационное наблюдение за безопасностью лекарственного средства </w:t>
      </w:r>
    </w:p>
    <w:p w14:paraId="7CE13D3E" w14:textId="6D48FAA7" w:rsidR="00706832" w:rsidRPr="008F54CF" w:rsidRDefault="00706832" w:rsidP="00B3786A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ТОО "Казахская фармацевтическая компания "МЕДСЕРВИС ПЛЮС"</w:t>
      </w:r>
    </w:p>
    <w:p w14:paraId="229F0480" w14:textId="10BD107A" w:rsidR="00706832" w:rsidRPr="008F54CF" w:rsidRDefault="00706832" w:rsidP="00B3786A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>Казахстан</w:t>
      </w:r>
      <w:r w:rsidR="007F61C7" w:rsidRPr="007F61C7">
        <w:rPr>
          <w:color w:val="000000" w:themeColor="text1"/>
          <w:sz w:val="24"/>
          <w:szCs w:val="24"/>
          <w:lang w:val="ru-RU"/>
        </w:rPr>
        <w:t xml:space="preserve">. </w:t>
      </w:r>
      <w:r w:rsidR="00076F84">
        <w:rPr>
          <w:color w:val="000000" w:themeColor="text1"/>
          <w:sz w:val="24"/>
          <w:szCs w:val="24"/>
          <w:lang w:val="ru-RU"/>
        </w:rPr>
        <w:t>Алматы</w:t>
      </w:r>
      <w:r w:rsidRPr="008F54CF">
        <w:rPr>
          <w:color w:val="000000" w:themeColor="text1"/>
          <w:sz w:val="24"/>
          <w:szCs w:val="24"/>
          <w:lang w:val="ru-RU"/>
        </w:rPr>
        <w:t>, ул. Маметовой,54, почтовый индекс 050004</w:t>
      </w:r>
    </w:p>
    <w:p w14:paraId="2FA9F661" w14:textId="12B843B4" w:rsidR="00706832" w:rsidRPr="008F54CF" w:rsidRDefault="00706832" w:rsidP="00B3786A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rFonts w:eastAsiaTheme="minorHAnsi"/>
          <w:color w:val="000000" w:themeColor="text1"/>
          <w:sz w:val="24"/>
          <w:szCs w:val="24"/>
          <w:lang w:val="ru-RU"/>
        </w:rPr>
        <w:t>+7 771 702 95 95</w:t>
      </w:r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69A0B9F9" w14:textId="77777777" w:rsidR="00706832" w:rsidRPr="008F54CF" w:rsidRDefault="00706832" w:rsidP="00B3786A">
      <w:pPr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Эл. почта: </w:t>
      </w:r>
      <w:proofErr w:type="spellStart"/>
      <w:r w:rsidRPr="008F54CF">
        <w:rPr>
          <w:color w:val="000000" w:themeColor="text1"/>
          <w:sz w:val="24"/>
          <w:szCs w:val="24"/>
        </w:rPr>
        <w:t>pvmsp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@</w:t>
      </w:r>
      <w:proofErr w:type="spellStart"/>
      <w:r w:rsidRPr="008F54CF">
        <w:rPr>
          <w:color w:val="000000" w:themeColor="text1"/>
          <w:sz w:val="24"/>
          <w:szCs w:val="24"/>
        </w:rPr>
        <w:t>medservice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>.</w:t>
      </w:r>
      <w:proofErr w:type="spellStart"/>
      <w:r w:rsidRPr="008F54CF">
        <w:rPr>
          <w:color w:val="000000" w:themeColor="text1"/>
          <w:sz w:val="24"/>
          <w:szCs w:val="24"/>
        </w:rPr>
        <w:t>kz</w:t>
      </w:r>
      <w:proofErr w:type="spellEnd"/>
      <w:r w:rsidRPr="008F54CF">
        <w:rPr>
          <w:color w:val="000000" w:themeColor="text1"/>
          <w:sz w:val="24"/>
          <w:szCs w:val="24"/>
          <w:lang w:val="ru-RU"/>
        </w:rPr>
        <w:t xml:space="preserve"> </w:t>
      </w:r>
    </w:p>
    <w:p w14:paraId="54F2B7F8" w14:textId="2B7818D3" w:rsidR="00B96FF6" w:rsidRPr="008F54CF" w:rsidRDefault="00706832" w:rsidP="007F61C7">
      <w:pPr>
        <w:spacing w:after="20"/>
        <w:ind w:left="20"/>
        <w:jc w:val="both"/>
        <w:rPr>
          <w:color w:val="000000" w:themeColor="text1"/>
          <w:sz w:val="24"/>
          <w:szCs w:val="24"/>
          <w:lang w:val="ru-RU"/>
        </w:rPr>
      </w:pPr>
      <w:r w:rsidRPr="008F54CF">
        <w:rPr>
          <w:color w:val="000000" w:themeColor="text1"/>
          <w:sz w:val="24"/>
          <w:szCs w:val="24"/>
          <w:lang w:val="ru-RU"/>
        </w:rPr>
        <w:t xml:space="preserve">                  </w:t>
      </w:r>
    </w:p>
    <w:p w14:paraId="00ADF3B0" w14:textId="77777777" w:rsidR="00995A7F" w:rsidRPr="008F54CF" w:rsidRDefault="00995A7F" w:rsidP="007F61C7">
      <w:pPr>
        <w:jc w:val="both"/>
        <w:rPr>
          <w:color w:val="000000" w:themeColor="text1"/>
          <w:sz w:val="24"/>
          <w:szCs w:val="24"/>
          <w:lang w:val="ru-RU"/>
        </w:rPr>
      </w:pPr>
      <w:bookmarkStart w:id="12" w:name="_GoBack"/>
      <w:bookmarkEnd w:id="12"/>
    </w:p>
    <w:sectPr w:rsidR="00995A7F" w:rsidRPr="008F54CF" w:rsidSect="006663E8">
      <w:headerReference w:type="default" r:id="rId12"/>
      <w:footerReference w:type="default" r:id="rId13"/>
      <w:pgSz w:w="11910" w:h="16840"/>
      <w:pgMar w:top="1134" w:right="1134" w:bottom="1134" w:left="1701" w:header="714" w:footer="117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02ABCA" w14:textId="77777777" w:rsidR="00B47157" w:rsidRDefault="00B47157">
      <w:r>
        <w:separator/>
      </w:r>
    </w:p>
  </w:endnote>
  <w:endnote w:type="continuationSeparator" w:id="0">
    <w:p w14:paraId="471ECB82" w14:textId="77777777" w:rsidR="00B47157" w:rsidRDefault="00B47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20B0604020202020204"/>
    <w:charset w:val="00"/>
    <w:family w:val="roman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46360113"/>
      <w:docPartObj>
        <w:docPartGallery w:val="Page Numbers (Bottom of Page)"/>
        <w:docPartUnique/>
      </w:docPartObj>
    </w:sdtPr>
    <w:sdtEndPr/>
    <w:sdtContent>
      <w:p w14:paraId="5B0B7A9E" w14:textId="7BFEC8E4" w:rsidR="00E4555D" w:rsidRDefault="00E4555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59AE" w:rsidRPr="00EB59AE">
          <w:rPr>
            <w:noProof/>
            <w:lang w:val="ru-RU"/>
          </w:rPr>
          <w:t>14</w:t>
        </w:r>
        <w:r>
          <w:fldChar w:fldCharType="end"/>
        </w:r>
      </w:p>
    </w:sdtContent>
  </w:sdt>
  <w:p w14:paraId="303FB309" w14:textId="3B831279" w:rsidR="00E4555D" w:rsidRDefault="00E4555D">
    <w:pPr>
      <w:pStyle w:val="a3"/>
      <w:spacing w:before="0"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55BBCF" w14:textId="77777777" w:rsidR="00B47157" w:rsidRDefault="00B47157">
      <w:r>
        <w:separator/>
      </w:r>
    </w:p>
  </w:footnote>
  <w:footnote w:type="continuationSeparator" w:id="0">
    <w:p w14:paraId="61AD4251" w14:textId="77777777" w:rsidR="00B47157" w:rsidRDefault="00B471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9A564" w14:textId="64E80081" w:rsidR="009E50D4" w:rsidRPr="009E50D4" w:rsidRDefault="00E4555D" w:rsidP="009E50D4">
    <w:pPr>
      <w:jc w:val="right"/>
      <w:rPr>
        <w:b/>
        <w:lang w:val="ru-RU"/>
      </w:rPr>
    </w:pP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1D57F266" wp14:editId="7ADBBDBA">
              <wp:simplePos x="0" y="0"/>
              <wp:positionH relativeFrom="page">
                <wp:posOffset>3048001</wp:posOffset>
              </wp:positionH>
              <wp:positionV relativeFrom="page">
                <wp:posOffset>259080</wp:posOffset>
              </wp:positionV>
              <wp:extent cx="1318260" cy="46609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18260" cy="46609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93C8654" w14:textId="1BDA51B4" w:rsidR="00E4555D" w:rsidRPr="00203E9F" w:rsidRDefault="00E4555D">
                          <w:pPr>
                            <w:spacing w:before="12"/>
                            <w:ind w:left="20"/>
                            <w:rPr>
                              <w:sz w:val="18"/>
                              <w:lang w:val="ru-RU"/>
                            </w:rPr>
                          </w:pPr>
                          <w:r w:rsidRPr="00203E9F">
                            <w:rPr>
                              <w:sz w:val="18"/>
                              <w:lang w:val="ru-RU"/>
                            </w:rPr>
                            <w:t>Отчёт ВОЗ об оценке лекарственного препарата (</w:t>
                          </w:r>
                          <w:r w:rsidRPr="00203E9F">
                            <w:rPr>
                              <w:sz w:val="18"/>
                            </w:rPr>
                            <w:t>WHOPAR</w:t>
                          </w:r>
                          <w:r w:rsidRPr="00203E9F">
                            <w:rPr>
                              <w:sz w:val="18"/>
                              <w:lang w:val="ru-RU"/>
                            </w:rPr>
                            <w:t>)</w:t>
                          </w:r>
                          <w:r>
                            <w:rPr>
                              <w:sz w:val="18"/>
                              <w:lang w:val="ru-RU"/>
                            </w:rPr>
                            <w:t xml:space="preserve"> Часть 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w14:anchorId="1D57F26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left:0;text-align:left;margin-left:240pt;margin-top:20.4pt;width:103.8pt;height:36.7pt;z-index:-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" filled="f" stroked="f">
              <v:path arrowok="t"/>
              <v:textbox inset="0,0,0,0">
                <w:txbxContent>
                  <w:p w14:paraId="193C8654" w14:textId="1BDA51B4" w:rsidR="00E4555D" w:rsidRPr="00203E9F" w:rsidRDefault="00E4555D">
                    <w:pPr>
                      <w:spacing w:before="12"/>
                      <w:ind w:left="20"/>
                      <w:rPr>
                        <w:sz w:val="18"/>
                        <w:lang w:val="ru-RU"/>
                      </w:rPr>
                    </w:pPr>
                    <w:r w:rsidRPr="00203E9F">
                      <w:rPr>
                        <w:sz w:val="18"/>
                        <w:lang w:val="ru-RU"/>
                      </w:rPr>
                      <w:t>Отчёт ВОЗ об оценке лекарственного препарата (</w:t>
                    </w:r>
                    <w:r w:rsidRPr="00203E9F">
                      <w:rPr>
                        <w:sz w:val="18"/>
                      </w:rPr>
                      <w:t>WHOPAR</w:t>
                    </w:r>
                    <w:r w:rsidRPr="00203E9F">
                      <w:rPr>
                        <w:sz w:val="18"/>
                        <w:lang w:val="ru-RU"/>
                      </w:rPr>
                      <w:t>)</w:t>
                    </w:r>
                    <w:r>
                      <w:rPr>
                        <w:sz w:val="18"/>
                        <w:lang w:val="ru-RU"/>
                      </w:rPr>
                      <w:t xml:space="preserve"> Часть 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val="ru-RU" w:eastAsia="ru-RU"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31792CB9" wp14:editId="2D003F0A">
              <wp:simplePos x="0" y="0"/>
              <wp:positionH relativeFrom="page">
                <wp:posOffset>350520</wp:posOffset>
              </wp:positionH>
              <wp:positionV relativeFrom="page">
                <wp:posOffset>441960</wp:posOffset>
              </wp:positionV>
              <wp:extent cx="2525395" cy="3733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25395" cy="3733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413FDCF" w14:textId="77777777" w:rsidR="00E4555D" w:rsidRPr="00203E9F" w:rsidRDefault="00E4555D" w:rsidP="00203E9F">
                          <w:pPr>
                            <w:spacing w:before="12"/>
                            <w:ind w:left="20" w:right="18"/>
                            <w:rPr>
                              <w:sz w:val="18"/>
                              <w:lang w:val="ru-RU"/>
                            </w:rPr>
                          </w:pPr>
                          <w:proofErr w:type="spellStart"/>
                          <w:r w:rsidRPr="00203E9F">
                            <w:rPr>
                              <w:sz w:val="18"/>
                              <w:lang w:val="ru-RU"/>
                            </w:rPr>
                            <w:t>Бедакилин</w:t>
                          </w:r>
                          <w:proofErr w:type="spellEnd"/>
                          <w:r w:rsidRPr="00203E9F">
                            <w:rPr>
                              <w:sz w:val="18"/>
                              <w:lang w:val="ru-RU"/>
                            </w:rPr>
                            <w:t xml:space="preserve"> (в виде </w:t>
                          </w:r>
                          <w:proofErr w:type="spellStart"/>
                          <w:r w:rsidRPr="00203E9F">
                            <w:rPr>
                              <w:sz w:val="18"/>
                              <w:lang w:val="ru-RU"/>
                            </w:rPr>
                            <w:t>фумарата</w:t>
                          </w:r>
                          <w:proofErr w:type="spellEnd"/>
                          <w:r w:rsidRPr="00203E9F">
                            <w:rPr>
                              <w:sz w:val="18"/>
                              <w:lang w:val="ru-RU"/>
                            </w:rPr>
                            <w:t>) 100 мг, таблетки</w:t>
                          </w:r>
                        </w:p>
                        <w:p w14:paraId="56AAD760" w14:textId="0511EDD0" w:rsidR="00E4555D" w:rsidRDefault="00E4555D" w:rsidP="00203E9F">
                          <w:pPr>
                            <w:spacing w:before="12"/>
                            <w:ind w:left="20" w:right="18"/>
                            <w:rPr>
                              <w:sz w:val="18"/>
                            </w:rPr>
                          </w:pPr>
                          <w:r w:rsidRPr="00203E9F">
                            <w:rPr>
                              <w:sz w:val="18"/>
                            </w:rPr>
                            <w:t xml:space="preserve">(MSN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Лабораториз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Приват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 xml:space="preserve"> </w:t>
                          </w:r>
                          <w:proofErr w:type="spellStart"/>
                          <w:r w:rsidRPr="00203E9F">
                            <w:rPr>
                              <w:sz w:val="18"/>
                            </w:rPr>
                            <w:t>Лимитед</w:t>
                          </w:r>
                          <w:proofErr w:type="spellEnd"/>
                          <w:r w:rsidRPr="00203E9F">
                            <w:rPr>
                              <w:sz w:val="18"/>
                            </w:rPr>
                            <w:t>), TB395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 w14:anchorId="31792CB9" id="Textbox 1" o:spid="_x0000_s1027" type="#_x0000_t202" style="position:absolute;left:0;text-align:left;margin-left:27.6pt;margin-top:34.8pt;width:198.85pt;height:29.4pt;z-index:-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" filled="f" stroked="f">
              <v:path arrowok="t"/>
              <v:textbox inset="0,0,0,0">
                <w:txbxContent>
                  <w:p w14:paraId="2413FDCF" w14:textId="77777777" w:rsidR="00E4555D" w:rsidRPr="00203E9F" w:rsidRDefault="00E4555D" w:rsidP="00203E9F">
                    <w:pPr>
                      <w:spacing w:before="12"/>
                      <w:ind w:left="20" w:right="18"/>
                      <w:rPr>
                        <w:sz w:val="18"/>
                        <w:lang w:val="ru-RU"/>
                      </w:rPr>
                    </w:pPr>
                    <w:proofErr w:type="spellStart"/>
                    <w:r w:rsidRPr="00203E9F">
                      <w:rPr>
                        <w:sz w:val="18"/>
                        <w:lang w:val="ru-RU"/>
                      </w:rPr>
                      <w:t>Бедакилин</w:t>
                    </w:r>
                    <w:proofErr w:type="spellEnd"/>
                    <w:r w:rsidRPr="00203E9F">
                      <w:rPr>
                        <w:sz w:val="18"/>
                        <w:lang w:val="ru-RU"/>
                      </w:rPr>
                      <w:t xml:space="preserve"> (в виде </w:t>
                    </w:r>
                    <w:proofErr w:type="spellStart"/>
                    <w:r w:rsidRPr="00203E9F">
                      <w:rPr>
                        <w:sz w:val="18"/>
                        <w:lang w:val="ru-RU"/>
                      </w:rPr>
                      <w:t>фумарата</w:t>
                    </w:r>
                    <w:proofErr w:type="spellEnd"/>
                    <w:r w:rsidRPr="00203E9F">
                      <w:rPr>
                        <w:sz w:val="18"/>
                        <w:lang w:val="ru-RU"/>
                      </w:rPr>
                      <w:t>) 100 мг, таблетки</w:t>
                    </w:r>
                  </w:p>
                  <w:p w14:paraId="56AAD760" w14:textId="0511EDD0" w:rsidR="00E4555D" w:rsidRDefault="00E4555D" w:rsidP="00203E9F">
                    <w:pPr>
                      <w:spacing w:before="12"/>
                      <w:ind w:left="20" w:right="18"/>
                      <w:rPr>
                        <w:sz w:val="18"/>
                      </w:rPr>
                    </w:pPr>
                    <w:r w:rsidRPr="00203E9F">
                      <w:rPr>
                        <w:sz w:val="18"/>
                      </w:rPr>
                      <w:t xml:space="preserve">(MSN </w:t>
                    </w:r>
                    <w:proofErr w:type="spellStart"/>
                    <w:r w:rsidRPr="00203E9F">
                      <w:rPr>
                        <w:sz w:val="18"/>
                      </w:rPr>
                      <w:t>Лабораториз</w:t>
                    </w:r>
                    <w:proofErr w:type="spellEnd"/>
                    <w:r w:rsidRPr="00203E9F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203E9F">
                      <w:rPr>
                        <w:sz w:val="18"/>
                      </w:rPr>
                      <w:t>Приват</w:t>
                    </w:r>
                    <w:proofErr w:type="spellEnd"/>
                    <w:r w:rsidRPr="00203E9F">
                      <w:rPr>
                        <w:sz w:val="18"/>
                      </w:rPr>
                      <w:t xml:space="preserve"> </w:t>
                    </w:r>
                    <w:proofErr w:type="spellStart"/>
                    <w:r w:rsidRPr="00203E9F">
                      <w:rPr>
                        <w:sz w:val="18"/>
                      </w:rPr>
                      <w:t>Лимитед</w:t>
                    </w:r>
                    <w:proofErr w:type="spellEnd"/>
                    <w:r w:rsidRPr="00203E9F">
                      <w:rPr>
                        <w:sz w:val="18"/>
                      </w:rPr>
                      <w:t>), TB395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9E50D4">
      <w:rPr>
        <w:sz w:val="20"/>
        <w:lang w:val="ru-RU"/>
      </w:rPr>
      <w:t xml:space="preserve">                                                                                                                                                       </w:t>
    </w:r>
    <w:r w:rsidR="009E50D4" w:rsidRPr="009E50D4">
      <w:rPr>
        <w:rStyle w:val="ad"/>
        <w:b w:val="0"/>
        <w:lang w:val="ru-RU"/>
      </w:rPr>
      <w:t xml:space="preserve">Дата </w:t>
    </w:r>
    <w:proofErr w:type="spellStart"/>
    <w:r w:rsidR="009E50D4" w:rsidRPr="009E50D4">
      <w:rPr>
        <w:rStyle w:val="ad"/>
        <w:b w:val="0"/>
        <w:lang w:val="ru-RU"/>
      </w:rPr>
      <w:t>преквалификации</w:t>
    </w:r>
    <w:proofErr w:type="spellEnd"/>
    <w:r w:rsidR="009E50D4" w:rsidRPr="009E50D4">
      <w:rPr>
        <w:rStyle w:val="ad"/>
        <w:b w:val="0"/>
        <w:lang w:val="ru-RU"/>
      </w:rPr>
      <w:t xml:space="preserve"> ВОЗ</w:t>
    </w:r>
    <w:r w:rsidR="009E50D4" w:rsidRPr="009E50D4">
      <w:rPr>
        <w:b/>
        <w:lang w:val="ru-RU"/>
      </w:rPr>
      <w:br/>
    </w:r>
    <w:r w:rsidR="009E50D4" w:rsidRPr="009E50D4">
      <w:rPr>
        <w:lang w:val="ru-RU"/>
      </w:rPr>
      <w:t>19 декабря 2024 г.</w:t>
    </w:r>
  </w:p>
  <w:p w14:paraId="16EF218E" w14:textId="3B8CC712" w:rsidR="00E4555D" w:rsidRPr="009E50D4" w:rsidRDefault="00E4555D">
    <w:pPr>
      <w:pStyle w:val="a3"/>
      <w:spacing w:before="0" w:line="14" w:lineRule="auto"/>
      <w:ind w:left="0"/>
      <w:rPr>
        <w:sz w:val="20"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75E48"/>
    <w:multiLevelType w:val="hybridMultilevel"/>
    <w:tmpl w:val="0B146E4C"/>
    <w:lvl w:ilvl="0" w:tplc="FBA8E050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E56FA"/>
    <w:multiLevelType w:val="hybridMultilevel"/>
    <w:tmpl w:val="D5B61DAC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C53728"/>
    <w:multiLevelType w:val="multilevel"/>
    <w:tmpl w:val="52F04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036D51"/>
    <w:multiLevelType w:val="multilevel"/>
    <w:tmpl w:val="F1F613A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24D52DAF"/>
    <w:multiLevelType w:val="multilevel"/>
    <w:tmpl w:val="973C751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28FB6133"/>
    <w:multiLevelType w:val="multilevel"/>
    <w:tmpl w:val="40EE5F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D5268E1"/>
    <w:multiLevelType w:val="hybridMultilevel"/>
    <w:tmpl w:val="B82E4BAE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6A2B76"/>
    <w:multiLevelType w:val="hybridMultilevel"/>
    <w:tmpl w:val="2DDE1156"/>
    <w:lvl w:ilvl="0" w:tplc="6CE62AD2">
      <w:start w:val="1"/>
      <w:numFmt w:val="decimal"/>
      <w:lvlText w:val="%1."/>
      <w:lvlJc w:val="left"/>
      <w:pPr>
        <w:ind w:left="86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F30F034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2" w:tplc="974E2042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3" w:tplc="E7C05492">
      <w:numFmt w:val="bullet"/>
      <w:lvlText w:val="•"/>
      <w:lvlJc w:val="left"/>
      <w:pPr>
        <w:ind w:left="3578" w:hanging="360"/>
      </w:pPr>
      <w:rPr>
        <w:rFonts w:hint="default"/>
        <w:lang w:val="en-US" w:eastAsia="en-US" w:bidi="ar-SA"/>
      </w:rPr>
    </w:lvl>
    <w:lvl w:ilvl="4" w:tplc="DC6CB27A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5" w:tplc="9C5033FC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96EAF394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7" w:tplc="094AC35A">
      <w:numFmt w:val="bullet"/>
      <w:lvlText w:val="•"/>
      <w:lvlJc w:val="left"/>
      <w:pPr>
        <w:ind w:left="7202" w:hanging="360"/>
      </w:pPr>
      <w:rPr>
        <w:rFonts w:hint="default"/>
        <w:lang w:val="en-US" w:eastAsia="en-US" w:bidi="ar-SA"/>
      </w:rPr>
    </w:lvl>
    <w:lvl w:ilvl="8" w:tplc="0652C0DA">
      <w:numFmt w:val="bullet"/>
      <w:lvlText w:val="•"/>
      <w:lvlJc w:val="left"/>
      <w:pPr>
        <w:ind w:left="8108" w:hanging="360"/>
      </w:pPr>
      <w:rPr>
        <w:rFonts w:hint="default"/>
        <w:lang w:val="en-US" w:eastAsia="en-US" w:bidi="ar-SA"/>
      </w:rPr>
    </w:lvl>
  </w:abstractNum>
  <w:abstractNum w:abstractNumId="8">
    <w:nsid w:val="4073409E"/>
    <w:multiLevelType w:val="multilevel"/>
    <w:tmpl w:val="477241B2"/>
    <w:lvl w:ilvl="0">
      <w:start w:val="1"/>
      <w:numFmt w:val="decimal"/>
      <w:lvlText w:val="%1."/>
      <w:lvlJc w:val="left"/>
      <w:pPr>
        <w:ind w:left="863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3131" w:hanging="7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>
      <w:numFmt w:val="bullet"/>
      <w:lvlText w:val=""/>
      <w:lvlJc w:val="left"/>
      <w:pPr>
        <w:ind w:left="856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3">
      <w:numFmt w:val="bullet"/>
      <w:lvlText w:val="•"/>
      <w:lvlJc w:val="left"/>
      <w:pPr>
        <w:ind w:left="2873" w:hanging="356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880" w:hanging="356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887" w:hanging="356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93" w:hanging="356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900" w:hanging="356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07" w:hanging="356"/>
      </w:pPr>
      <w:rPr>
        <w:rFonts w:hint="default"/>
        <w:lang w:val="en-US" w:eastAsia="en-US" w:bidi="ar-SA"/>
      </w:rPr>
    </w:lvl>
  </w:abstractNum>
  <w:abstractNum w:abstractNumId="9">
    <w:nsid w:val="4E5B49E7"/>
    <w:multiLevelType w:val="multilevel"/>
    <w:tmpl w:val="DCE82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A654C7"/>
    <w:multiLevelType w:val="hybridMultilevel"/>
    <w:tmpl w:val="30B4F2BE"/>
    <w:lvl w:ilvl="0" w:tplc="E076BD2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54E52D6"/>
    <w:multiLevelType w:val="multilevel"/>
    <w:tmpl w:val="4ED6E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vertAlign w:val="superscrip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A790DA8"/>
    <w:multiLevelType w:val="multilevel"/>
    <w:tmpl w:val="38CE9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F0B6F25"/>
    <w:multiLevelType w:val="hybridMultilevel"/>
    <w:tmpl w:val="69BAA6DC"/>
    <w:lvl w:ilvl="0" w:tplc="DDF24F2A">
      <w:numFmt w:val="bullet"/>
      <w:lvlText w:val=""/>
      <w:lvlJc w:val="left"/>
      <w:pPr>
        <w:ind w:left="86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57A26008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2" w:tplc="B24C970E">
      <w:numFmt w:val="bullet"/>
      <w:lvlText w:val="•"/>
      <w:lvlJc w:val="left"/>
      <w:pPr>
        <w:ind w:left="2672" w:hanging="360"/>
      </w:pPr>
      <w:rPr>
        <w:rFonts w:hint="default"/>
        <w:lang w:val="en-US" w:eastAsia="en-US" w:bidi="ar-SA"/>
      </w:rPr>
    </w:lvl>
    <w:lvl w:ilvl="3" w:tplc="9D30A8C0">
      <w:numFmt w:val="bullet"/>
      <w:lvlText w:val="•"/>
      <w:lvlJc w:val="left"/>
      <w:pPr>
        <w:ind w:left="3578" w:hanging="360"/>
      </w:pPr>
      <w:rPr>
        <w:rFonts w:hint="default"/>
        <w:lang w:val="en-US" w:eastAsia="en-US" w:bidi="ar-SA"/>
      </w:rPr>
    </w:lvl>
    <w:lvl w:ilvl="4" w:tplc="72E07AA8">
      <w:numFmt w:val="bullet"/>
      <w:lvlText w:val="•"/>
      <w:lvlJc w:val="left"/>
      <w:pPr>
        <w:ind w:left="4484" w:hanging="360"/>
      </w:pPr>
      <w:rPr>
        <w:rFonts w:hint="default"/>
        <w:lang w:val="en-US" w:eastAsia="en-US" w:bidi="ar-SA"/>
      </w:rPr>
    </w:lvl>
    <w:lvl w:ilvl="5" w:tplc="1C7AF846">
      <w:numFmt w:val="bullet"/>
      <w:lvlText w:val="•"/>
      <w:lvlJc w:val="left"/>
      <w:pPr>
        <w:ind w:left="5390" w:hanging="360"/>
      </w:pPr>
      <w:rPr>
        <w:rFonts w:hint="default"/>
        <w:lang w:val="en-US" w:eastAsia="en-US" w:bidi="ar-SA"/>
      </w:rPr>
    </w:lvl>
    <w:lvl w:ilvl="6" w:tplc="49C22258">
      <w:numFmt w:val="bullet"/>
      <w:lvlText w:val="•"/>
      <w:lvlJc w:val="left"/>
      <w:pPr>
        <w:ind w:left="6296" w:hanging="360"/>
      </w:pPr>
      <w:rPr>
        <w:rFonts w:hint="default"/>
        <w:lang w:val="en-US" w:eastAsia="en-US" w:bidi="ar-SA"/>
      </w:rPr>
    </w:lvl>
    <w:lvl w:ilvl="7" w:tplc="FD6E1C32">
      <w:numFmt w:val="bullet"/>
      <w:lvlText w:val="•"/>
      <w:lvlJc w:val="left"/>
      <w:pPr>
        <w:ind w:left="7202" w:hanging="360"/>
      </w:pPr>
      <w:rPr>
        <w:rFonts w:hint="default"/>
        <w:lang w:val="en-US" w:eastAsia="en-US" w:bidi="ar-SA"/>
      </w:rPr>
    </w:lvl>
    <w:lvl w:ilvl="8" w:tplc="22AEC16C">
      <w:numFmt w:val="bullet"/>
      <w:lvlText w:val="•"/>
      <w:lvlJc w:val="left"/>
      <w:pPr>
        <w:ind w:left="8108" w:hanging="360"/>
      </w:pPr>
      <w:rPr>
        <w:rFonts w:hint="default"/>
        <w:lang w:val="en-US" w:eastAsia="en-US" w:bidi="ar-SA"/>
      </w:rPr>
    </w:lvl>
  </w:abstractNum>
  <w:abstractNum w:abstractNumId="14">
    <w:nsid w:val="60BF4E07"/>
    <w:multiLevelType w:val="hybridMultilevel"/>
    <w:tmpl w:val="49326A32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D07462"/>
    <w:multiLevelType w:val="hybridMultilevel"/>
    <w:tmpl w:val="45C6294C"/>
    <w:lvl w:ilvl="0" w:tplc="D5A0E8FE">
      <w:numFmt w:val="bullet"/>
      <w:lvlText w:val="-"/>
      <w:lvlJc w:val="left"/>
      <w:pPr>
        <w:ind w:left="143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19A8A9E2">
      <w:numFmt w:val="bullet"/>
      <w:lvlText w:val="•"/>
      <w:lvlJc w:val="left"/>
      <w:pPr>
        <w:ind w:left="1118" w:hanging="356"/>
      </w:pPr>
      <w:rPr>
        <w:rFonts w:hint="default"/>
        <w:lang w:val="en-US" w:eastAsia="en-US" w:bidi="ar-SA"/>
      </w:rPr>
    </w:lvl>
    <w:lvl w:ilvl="2" w:tplc="C20A6FE0">
      <w:numFmt w:val="bullet"/>
      <w:lvlText w:val="•"/>
      <w:lvlJc w:val="left"/>
      <w:pPr>
        <w:ind w:left="2096" w:hanging="356"/>
      </w:pPr>
      <w:rPr>
        <w:rFonts w:hint="default"/>
        <w:lang w:val="en-US" w:eastAsia="en-US" w:bidi="ar-SA"/>
      </w:rPr>
    </w:lvl>
    <w:lvl w:ilvl="3" w:tplc="81528D0C">
      <w:numFmt w:val="bullet"/>
      <w:lvlText w:val="•"/>
      <w:lvlJc w:val="left"/>
      <w:pPr>
        <w:ind w:left="3074" w:hanging="356"/>
      </w:pPr>
      <w:rPr>
        <w:rFonts w:hint="default"/>
        <w:lang w:val="en-US" w:eastAsia="en-US" w:bidi="ar-SA"/>
      </w:rPr>
    </w:lvl>
    <w:lvl w:ilvl="4" w:tplc="80ACA488">
      <w:numFmt w:val="bullet"/>
      <w:lvlText w:val="•"/>
      <w:lvlJc w:val="left"/>
      <w:pPr>
        <w:ind w:left="4052" w:hanging="356"/>
      </w:pPr>
      <w:rPr>
        <w:rFonts w:hint="default"/>
        <w:lang w:val="en-US" w:eastAsia="en-US" w:bidi="ar-SA"/>
      </w:rPr>
    </w:lvl>
    <w:lvl w:ilvl="5" w:tplc="8B269C66">
      <w:numFmt w:val="bullet"/>
      <w:lvlText w:val="•"/>
      <w:lvlJc w:val="left"/>
      <w:pPr>
        <w:ind w:left="5030" w:hanging="356"/>
      </w:pPr>
      <w:rPr>
        <w:rFonts w:hint="default"/>
        <w:lang w:val="en-US" w:eastAsia="en-US" w:bidi="ar-SA"/>
      </w:rPr>
    </w:lvl>
    <w:lvl w:ilvl="6" w:tplc="5D0279F8">
      <w:numFmt w:val="bullet"/>
      <w:lvlText w:val="•"/>
      <w:lvlJc w:val="left"/>
      <w:pPr>
        <w:ind w:left="6008" w:hanging="356"/>
      </w:pPr>
      <w:rPr>
        <w:rFonts w:hint="default"/>
        <w:lang w:val="en-US" w:eastAsia="en-US" w:bidi="ar-SA"/>
      </w:rPr>
    </w:lvl>
    <w:lvl w:ilvl="7" w:tplc="850C7E44">
      <w:numFmt w:val="bullet"/>
      <w:lvlText w:val="•"/>
      <w:lvlJc w:val="left"/>
      <w:pPr>
        <w:ind w:left="6986" w:hanging="356"/>
      </w:pPr>
      <w:rPr>
        <w:rFonts w:hint="default"/>
        <w:lang w:val="en-US" w:eastAsia="en-US" w:bidi="ar-SA"/>
      </w:rPr>
    </w:lvl>
    <w:lvl w:ilvl="8" w:tplc="90CEBC00">
      <w:numFmt w:val="bullet"/>
      <w:lvlText w:val="•"/>
      <w:lvlJc w:val="left"/>
      <w:pPr>
        <w:ind w:left="7964" w:hanging="356"/>
      </w:pPr>
      <w:rPr>
        <w:rFonts w:hint="default"/>
        <w:lang w:val="en-US" w:eastAsia="en-US" w:bidi="ar-SA"/>
      </w:rPr>
    </w:lvl>
  </w:abstractNum>
  <w:abstractNum w:abstractNumId="16">
    <w:nsid w:val="68253401"/>
    <w:multiLevelType w:val="hybridMultilevel"/>
    <w:tmpl w:val="529A5406"/>
    <w:lvl w:ilvl="0" w:tplc="29D8C634">
      <w:start w:val="60"/>
      <w:numFmt w:val="decimal"/>
      <w:lvlText w:val="%1"/>
      <w:lvlJc w:val="left"/>
      <w:pPr>
        <w:ind w:left="463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183" w:hanging="360"/>
      </w:pPr>
    </w:lvl>
    <w:lvl w:ilvl="2" w:tplc="1000001B" w:tentative="1">
      <w:start w:val="1"/>
      <w:numFmt w:val="lowerRoman"/>
      <w:lvlText w:val="%3."/>
      <w:lvlJc w:val="right"/>
      <w:pPr>
        <w:ind w:left="1903" w:hanging="180"/>
      </w:pPr>
    </w:lvl>
    <w:lvl w:ilvl="3" w:tplc="1000000F" w:tentative="1">
      <w:start w:val="1"/>
      <w:numFmt w:val="decimal"/>
      <w:lvlText w:val="%4."/>
      <w:lvlJc w:val="left"/>
      <w:pPr>
        <w:ind w:left="2623" w:hanging="360"/>
      </w:pPr>
    </w:lvl>
    <w:lvl w:ilvl="4" w:tplc="10000019" w:tentative="1">
      <w:start w:val="1"/>
      <w:numFmt w:val="lowerLetter"/>
      <w:lvlText w:val="%5."/>
      <w:lvlJc w:val="left"/>
      <w:pPr>
        <w:ind w:left="3343" w:hanging="360"/>
      </w:pPr>
    </w:lvl>
    <w:lvl w:ilvl="5" w:tplc="1000001B" w:tentative="1">
      <w:start w:val="1"/>
      <w:numFmt w:val="lowerRoman"/>
      <w:lvlText w:val="%6."/>
      <w:lvlJc w:val="right"/>
      <w:pPr>
        <w:ind w:left="4063" w:hanging="180"/>
      </w:pPr>
    </w:lvl>
    <w:lvl w:ilvl="6" w:tplc="1000000F" w:tentative="1">
      <w:start w:val="1"/>
      <w:numFmt w:val="decimal"/>
      <w:lvlText w:val="%7."/>
      <w:lvlJc w:val="left"/>
      <w:pPr>
        <w:ind w:left="4783" w:hanging="360"/>
      </w:pPr>
    </w:lvl>
    <w:lvl w:ilvl="7" w:tplc="10000019" w:tentative="1">
      <w:start w:val="1"/>
      <w:numFmt w:val="lowerLetter"/>
      <w:lvlText w:val="%8."/>
      <w:lvlJc w:val="left"/>
      <w:pPr>
        <w:ind w:left="5503" w:hanging="360"/>
      </w:pPr>
    </w:lvl>
    <w:lvl w:ilvl="8" w:tplc="1000001B" w:tentative="1">
      <w:start w:val="1"/>
      <w:numFmt w:val="lowerRoman"/>
      <w:lvlText w:val="%9."/>
      <w:lvlJc w:val="right"/>
      <w:pPr>
        <w:ind w:left="6223" w:hanging="180"/>
      </w:pPr>
    </w:lvl>
  </w:abstractNum>
  <w:abstractNum w:abstractNumId="17">
    <w:nsid w:val="68C111E9"/>
    <w:multiLevelType w:val="hybridMultilevel"/>
    <w:tmpl w:val="BFAA8E78"/>
    <w:lvl w:ilvl="0" w:tplc="15AA5D36">
      <w:start w:val="2"/>
      <w:numFmt w:val="decimal"/>
      <w:lvlText w:val="%1"/>
      <w:lvlJc w:val="left"/>
      <w:pPr>
        <w:ind w:left="720" w:hanging="360"/>
      </w:pPr>
      <w:rPr>
        <w:rFonts w:hint="default"/>
        <w:vertAlign w:val="superscrip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0C1B03"/>
    <w:multiLevelType w:val="multilevel"/>
    <w:tmpl w:val="F072F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FDC16B0"/>
    <w:multiLevelType w:val="hybridMultilevel"/>
    <w:tmpl w:val="101A28C0"/>
    <w:lvl w:ilvl="0" w:tplc="D4402FDC">
      <w:numFmt w:val="bullet"/>
      <w:lvlText w:val=""/>
      <w:lvlJc w:val="left"/>
      <w:pPr>
        <w:ind w:left="863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55AAB02A">
      <w:numFmt w:val="bullet"/>
      <w:lvlText w:val="•"/>
      <w:lvlJc w:val="left"/>
      <w:pPr>
        <w:ind w:left="1766" w:hanging="361"/>
      </w:pPr>
      <w:rPr>
        <w:rFonts w:hint="default"/>
        <w:lang w:val="en-US" w:eastAsia="en-US" w:bidi="ar-SA"/>
      </w:rPr>
    </w:lvl>
    <w:lvl w:ilvl="2" w:tplc="EA7C2932">
      <w:numFmt w:val="bullet"/>
      <w:lvlText w:val="•"/>
      <w:lvlJc w:val="left"/>
      <w:pPr>
        <w:ind w:left="2672" w:hanging="361"/>
      </w:pPr>
      <w:rPr>
        <w:rFonts w:hint="default"/>
        <w:lang w:val="en-US" w:eastAsia="en-US" w:bidi="ar-SA"/>
      </w:rPr>
    </w:lvl>
    <w:lvl w:ilvl="3" w:tplc="A9709950">
      <w:numFmt w:val="bullet"/>
      <w:lvlText w:val="•"/>
      <w:lvlJc w:val="left"/>
      <w:pPr>
        <w:ind w:left="3578" w:hanging="361"/>
      </w:pPr>
      <w:rPr>
        <w:rFonts w:hint="default"/>
        <w:lang w:val="en-US" w:eastAsia="en-US" w:bidi="ar-SA"/>
      </w:rPr>
    </w:lvl>
    <w:lvl w:ilvl="4" w:tplc="42CAAA10">
      <w:numFmt w:val="bullet"/>
      <w:lvlText w:val="•"/>
      <w:lvlJc w:val="left"/>
      <w:pPr>
        <w:ind w:left="4484" w:hanging="361"/>
      </w:pPr>
      <w:rPr>
        <w:rFonts w:hint="default"/>
        <w:lang w:val="en-US" w:eastAsia="en-US" w:bidi="ar-SA"/>
      </w:rPr>
    </w:lvl>
    <w:lvl w:ilvl="5" w:tplc="A75E61A6">
      <w:numFmt w:val="bullet"/>
      <w:lvlText w:val="•"/>
      <w:lvlJc w:val="left"/>
      <w:pPr>
        <w:ind w:left="5390" w:hanging="361"/>
      </w:pPr>
      <w:rPr>
        <w:rFonts w:hint="default"/>
        <w:lang w:val="en-US" w:eastAsia="en-US" w:bidi="ar-SA"/>
      </w:rPr>
    </w:lvl>
    <w:lvl w:ilvl="6" w:tplc="995254F0">
      <w:numFmt w:val="bullet"/>
      <w:lvlText w:val="•"/>
      <w:lvlJc w:val="left"/>
      <w:pPr>
        <w:ind w:left="6296" w:hanging="361"/>
      </w:pPr>
      <w:rPr>
        <w:rFonts w:hint="default"/>
        <w:lang w:val="en-US" w:eastAsia="en-US" w:bidi="ar-SA"/>
      </w:rPr>
    </w:lvl>
    <w:lvl w:ilvl="7" w:tplc="D6E0CD06">
      <w:numFmt w:val="bullet"/>
      <w:lvlText w:val="•"/>
      <w:lvlJc w:val="left"/>
      <w:pPr>
        <w:ind w:left="7202" w:hanging="361"/>
      </w:pPr>
      <w:rPr>
        <w:rFonts w:hint="default"/>
        <w:lang w:val="en-US" w:eastAsia="en-US" w:bidi="ar-SA"/>
      </w:rPr>
    </w:lvl>
    <w:lvl w:ilvl="8" w:tplc="F464446C">
      <w:numFmt w:val="bullet"/>
      <w:lvlText w:val="•"/>
      <w:lvlJc w:val="left"/>
      <w:pPr>
        <w:ind w:left="8108" w:hanging="361"/>
      </w:pPr>
      <w:rPr>
        <w:rFonts w:hint="default"/>
        <w:lang w:val="en-US" w:eastAsia="en-US" w:bidi="ar-SA"/>
      </w:rPr>
    </w:lvl>
  </w:abstractNum>
  <w:abstractNum w:abstractNumId="20">
    <w:nsid w:val="73A1311B"/>
    <w:multiLevelType w:val="multilevel"/>
    <w:tmpl w:val="14D0E5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>
    <w:nsid w:val="746D3AB2"/>
    <w:multiLevelType w:val="multilevel"/>
    <w:tmpl w:val="02DC2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4967EC2"/>
    <w:multiLevelType w:val="hybridMultilevel"/>
    <w:tmpl w:val="431AB62A"/>
    <w:lvl w:ilvl="0" w:tplc="448644C0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2F119D"/>
    <w:multiLevelType w:val="multilevel"/>
    <w:tmpl w:val="AD1480B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7B6B0B52"/>
    <w:multiLevelType w:val="hybridMultilevel"/>
    <w:tmpl w:val="699CF2F6"/>
    <w:lvl w:ilvl="0" w:tplc="4810EA90">
      <w:numFmt w:val="bullet"/>
      <w:lvlText w:val=""/>
      <w:lvlJc w:val="left"/>
      <w:pPr>
        <w:ind w:left="856" w:hanging="35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48644C0">
      <w:numFmt w:val="bullet"/>
      <w:lvlText w:val="•"/>
      <w:lvlJc w:val="left"/>
      <w:pPr>
        <w:ind w:left="1766" w:hanging="356"/>
      </w:pPr>
      <w:rPr>
        <w:rFonts w:hint="default"/>
        <w:lang w:val="en-US" w:eastAsia="en-US" w:bidi="ar-SA"/>
      </w:rPr>
    </w:lvl>
    <w:lvl w:ilvl="2" w:tplc="E6805BA8">
      <w:numFmt w:val="bullet"/>
      <w:lvlText w:val="•"/>
      <w:lvlJc w:val="left"/>
      <w:pPr>
        <w:ind w:left="2672" w:hanging="356"/>
      </w:pPr>
      <w:rPr>
        <w:rFonts w:hint="default"/>
        <w:lang w:val="en-US" w:eastAsia="en-US" w:bidi="ar-SA"/>
      </w:rPr>
    </w:lvl>
    <w:lvl w:ilvl="3" w:tplc="9B5A4CBC">
      <w:numFmt w:val="bullet"/>
      <w:lvlText w:val="•"/>
      <w:lvlJc w:val="left"/>
      <w:pPr>
        <w:ind w:left="3578" w:hanging="356"/>
      </w:pPr>
      <w:rPr>
        <w:rFonts w:hint="default"/>
        <w:lang w:val="en-US" w:eastAsia="en-US" w:bidi="ar-SA"/>
      </w:rPr>
    </w:lvl>
    <w:lvl w:ilvl="4" w:tplc="3DC03D10">
      <w:numFmt w:val="bullet"/>
      <w:lvlText w:val="•"/>
      <w:lvlJc w:val="left"/>
      <w:pPr>
        <w:ind w:left="4484" w:hanging="356"/>
      </w:pPr>
      <w:rPr>
        <w:rFonts w:hint="default"/>
        <w:lang w:val="en-US" w:eastAsia="en-US" w:bidi="ar-SA"/>
      </w:rPr>
    </w:lvl>
    <w:lvl w:ilvl="5" w:tplc="0F7EC0A0">
      <w:numFmt w:val="bullet"/>
      <w:lvlText w:val="•"/>
      <w:lvlJc w:val="left"/>
      <w:pPr>
        <w:ind w:left="5390" w:hanging="356"/>
      </w:pPr>
      <w:rPr>
        <w:rFonts w:hint="default"/>
        <w:lang w:val="en-US" w:eastAsia="en-US" w:bidi="ar-SA"/>
      </w:rPr>
    </w:lvl>
    <w:lvl w:ilvl="6" w:tplc="2DC8C1B2">
      <w:numFmt w:val="bullet"/>
      <w:lvlText w:val="•"/>
      <w:lvlJc w:val="left"/>
      <w:pPr>
        <w:ind w:left="6296" w:hanging="356"/>
      </w:pPr>
      <w:rPr>
        <w:rFonts w:hint="default"/>
        <w:lang w:val="en-US" w:eastAsia="en-US" w:bidi="ar-SA"/>
      </w:rPr>
    </w:lvl>
    <w:lvl w:ilvl="7" w:tplc="81981A74">
      <w:numFmt w:val="bullet"/>
      <w:lvlText w:val="•"/>
      <w:lvlJc w:val="left"/>
      <w:pPr>
        <w:ind w:left="7202" w:hanging="356"/>
      </w:pPr>
      <w:rPr>
        <w:rFonts w:hint="default"/>
        <w:lang w:val="en-US" w:eastAsia="en-US" w:bidi="ar-SA"/>
      </w:rPr>
    </w:lvl>
    <w:lvl w:ilvl="8" w:tplc="49EAE7B8">
      <w:numFmt w:val="bullet"/>
      <w:lvlText w:val="•"/>
      <w:lvlJc w:val="left"/>
      <w:pPr>
        <w:ind w:left="8108" w:hanging="356"/>
      </w:pPr>
      <w:rPr>
        <w:rFonts w:hint="default"/>
        <w:lang w:val="en-US" w:eastAsia="en-US" w:bidi="ar-SA"/>
      </w:rPr>
    </w:lvl>
  </w:abstractNum>
  <w:num w:numId="1">
    <w:abstractNumId w:val="24"/>
  </w:num>
  <w:num w:numId="2">
    <w:abstractNumId w:val="7"/>
  </w:num>
  <w:num w:numId="3">
    <w:abstractNumId w:val="15"/>
  </w:num>
  <w:num w:numId="4">
    <w:abstractNumId w:val="19"/>
  </w:num>
  <w:num w:numId="5">
    <w:abstractNumId w:val="13"/>
  </w:num>
  <w:num w:numId="6">
    <w:abstractNumId w:val="8"/>
  </w:num>
  <w:num w:numId="7">
    <w:abstractNumId w:val="5"/>
  </w:num>
  <w:num w:numId="8">
    <w:abstractNumId w:val="11"/>
  </w:num>
  <w:num w:numId="9">
    <w:abstractNumId w:val="16"/>
  </w:num>
  <w:num w:numId="10">
    <w:abstractNumId w:val="17"/>
  </w:num>
  <w:num w:numId="11">
    <w:abstractNumId w:val="20"/>
  </w:num>
  <w:num w:numId="12">
    <w:abstractNumId w:val="23"/>
  </w:num>
  <w:num w:numId="13">
    <w:abstractNumId w:val="1"/>
  </w:num>
  <w:num w:numId="14">
    <w:abstractNumId w:val="6"/>
  </w:num>
  <w:num w:numId="15">
    <w:abstractNumId w:val="14"/>
  </w:num>
  <w:num w:numId="16">
    <w:abstractNumId w:val="3"/>
  </w:num>
  <w:num w:numId="17">
    <w:abstractNumId w:val="4"/>
  </w:num>
  <w:num w:numId="18">
    <w:abstractNumId w:val="22"/>
  </w:num>
  <w:num w:numId="19">
    <w:abstractNumId w:val="18"/>
  </w:num>
  <w:num w:numId="20">
    <w:abstractNumId w:val="12"/>
  </w:num>
  <w:num w:numId="21">
    <w:abstractNumId w:val="2"/>
  </w:num>
  <w:num w:numId="22">
    <w:abstractNumId w:val="9"/>
  </w:num>
  <w:num w:numId="23">
    <w:abstractNumId w:val="10"/>
  </w:num>
  <w:num w:numId="24">
    <w:abstractNumId w:val="2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524"/>
    <w:rsid w:val="00024C9B"/>
    <w:rsid w:val="00025F43"/>
    <w:rsid w:val="000442DE"/>
    <w:rsid w:val="00057437"/>
    <w:rsid w:val="00076F84"/>
    <w:rsid w:val="00077B82"/>
    <w:rsid w:val="00087F6C"/>
    <w:rsid w:val="00090158"/>
    <w:rsid w:val="000B4289"/>
    <w:rsid w:val="000B66AD"/>
    <w:rsid w:val="000C0032"/>
    <w:rsid w:val="000D0D1E"/>
    <w:rsid w:val="000D306D"/>
    <w:rsid w:val="000E0340"/>
    <w:rsid w:val="000F089D"/>
    <w:rsid w:val="00104400"/>
    <w:rsid w:val="00115624"/>
    <w:rsid w:val="001243D1"/>
    <w:rsid w:val="001245E7"/>
    <w:rsid w:val="00126DAE"/>
    <w:rsid w:val="00137520"/>
    <w:rsid w:val="0014253F"/>
    <w:rsid w:val="001565D5"/>
    <w:rsid w:val="00164D48"/>
    <w:rsid w:val="0017050B"/>
    <w:rsid w:val="00196ED7"/>
    <w:rsid w:val="001C13FA"/>
    <w:rsid w:val="001F5697"/>
    <w:rsid w:val="00203E9F"/>
    <w:rsid w:val="002107B6"/>
    <w:rsid w:val="00247859"/>
    <w:rsid w:val="002652DD"/>
    <w:rsid w:val="00286472"/>
    <w:rsid w:val="002B38DA"/>
    <w:rsid w:val="002C104A"/>
    <w:rsid w:val="002D2C63"/>
    <w:rsid w:val="002E4F71"/>
    <w:rsid w:val="002E7B29"/>
    <w:rsid w:val="002F2713"/>
    <w:rsid w:val="002F7CA3"/>
    <w:rsid w:val="003276AF"/>
    <w:rsid w:val="003708DD"/>
    <w:rsid w:val="0037154B"/>
    <w:rsid w:val="00384B74"/>
    <w:rsid w:val="00386919"/>
    <w:rsid w:val="00392AE9"/>
    <w:rsid w:val="003B6BE9"/>
    <w:rsid w:val="003C5836"/>
    <w:rsid w:val="003E4BF2"/>
    <w:rsid w:val="003E659C"/>
    <w:rsid w:val="00416ED7"/>
    <w:rsid w:val="00424772"/>
    <w:rsid w:val="00431B80"/>
    <w:rsid w:val="00432D8F"/>
    <w:rsid w:val="00446979"/>
    <w:rsid w:val="00451808"/>
    <w:rsid w:val="004607D0"/>
    <w:rsid w:val="0046312C"/>
    <w:rsid w:val="00476B57"/>
    <w:rsid w:val="004772E8"/>
    <w:rsid w:val="00480417"/>
    <w:rsid w:val="004A0D32"/>
    <w:rsid w:val="004C0A26"/>
    <w:rsid w:val="004D38A2"/>
    <w:rsid w:val="004E2A43"/>
    <w:rsid w:val="005007D0"/>
    <w:rsid w:val="005043ED"/>
    <w:rsid w:val="0051034B"/>
    <w:rsid w:val="00511D88"/>
    <w:rsid w:val="0052605D"/>
    <w:rsid w:val="00534320"/>
    <w:rsid w:val="00542191"/>
    <w:rsid w:val="005465B2"/>
    <w:rsid w:val="00597BD5"/>
    <w:rsid w:val="005A061A"/>
    <w:rsid w:val="005E0E1D"/>
    <w:rsid w:val="005E65E0"/>
    <w:rsid w:val="005E6A72"/>
    <w:rsid w:val="00600693"/>
    <w:rsid w:val="00614074"/>
    <w:rsid w:val="00614D81"/>
    <w:rsid w:val="00616E3A"/>
    <w:rsid w:val="0063083E"/>
    <w:rsid w:val="0063298E"/>
    <w:rsid w:val="00637212"/>
    <w:rsid w:val="006663E8"/>
    <w:rsid w:val="00672C09"/>
    <w:rsid w:val="00694427"/>
    <w:rsid w:val="00696AE2"/>
    <w:rsid w:val="006A6B6E"/>
    <w:rsid w:val="006C4EDC"/>
    <w:rsid w:val="006C58CD"/>
    <w:rsid w:val="006F5C2C"/>
    <w:rsid w:val="00703F8F"/>
    <w:rsid w:val="00706832"/>
    <w:rsid w:val="00751B32"/>
    <w:rsid w:val="00766EE7"/>
    <w:rsid w:val="00795FF5"/>
    <w:rsid w:val="007A6447"/>
    <w:rsid w:val="007A6846"/>
    <w:rsid w:val="007B3224"/>
    <w:rsid w:val="007B417D"/>
    <w:rsid w:val="007E003A"/>
    <w:rsid w:val="007E1408"/>
    <w:rsid w:val="007F340B"/>
    <w:rsid w:val="007F61C7"/>
    <w:rsid w:val="007F7D8A"/>
    <w:rsid w:val="008315BA"/>
    <w:rsid w:val="0085745E"/>
    <w:rsid w:val="00863C3F"/>
    <w:rsid w:val="0086433C"/>
    <w:rsid w:val="00886AA3"/>
    <w:rsid w:val="008A0B34"/>
    <w:rsid w:val="008A0CAC"/>
    <w:rsid w:val="008C13C1"/>
    <w:rsid w:val="008C2524"/>
    <w:rsid w:val="008E64A9"/>
    <w:rsid w:val="008E710D"/>
    <w:rsid w:val="008E7D79"/>
    <w:rsid w:val="008F54CF"/>
    <w:rsid w:val="00916C74"/>
    <w:rsid w:val="009267D2"/>
    <w:rsid w:val="0093121B"/>
    <w:rsid w:val="00937C65"/>
    <w:rsid w:val="009435BF"/>
    <w:rsid w:val="00945476"/>
    <w:rsid w:val="00973AC8"/>
    <w:rsid w:val="009755DC"/>
    <w:rsid w:val="00984A80"/>
    <w:rsid w:val="00987160"/>
    <w:rsid w:val="00990334"/>
    <w:rsid w:val="00995A7F"/>
    <w:rsid w:val="009D1E7B"/>
    <w:rsid w:val="009D5FE2"/>
    <w:rsid w:val="009E50D4"/>
    <w:rsid w:val="009E741C"/>
    <w:rsid w:val="009F66F4"/>
    <w:rsid w:val="00A44249"/>
    <w:rsid w:val="00A64879"/>
    <w:rsid w:val="00AA0030"/>
    <w:rsid w:val="00AB6E5B"/>
    <w:rsid w:val="00AC0868"/>
    <w:rsid w:val="00AC37F2"/>
    <w:rsid w:val="00AC693B"/>
    <w:rsid w:val="00AD6475"/>
    <w:rsid w:val="00AE3B7D"/>
    <w:rsid w:val="00AE42B9"/>
    <w:rsid w:val="00AF0CC0"/>
    <w:rsid w:val="00AF3F1C"/>
    <w:rsid w:val="00AF4BB5"/>
    <w:rsid w:val="00AF4D45"/>
    <w:rsid w:val="00B039D7"/>
    <w:rsid w:val="00B04187"/>
    <w:rsid w:val="00B124FE"/>
    <w:rsid w:val="00B163D0"/>
    <w:rsid w:val="00B34BA2"/>
    <w:rsid w:val="00B3786A"/>
    <w:rsid w:val="00B42A03"/>
    <w:rsid w:val="00B453D7"/>
    <w:rsid w:val="00B47157"/>
    <w:rsid w:val="00B5569D"/>
    <w:rsid w:val="00B8630D"/>
    <w:rsid w:val="00B96FF6"/>
    <w:rsid w:val="00BA6119"/>
    <w:rsid w:val="00BB0D5C"/>
    <w:rsid w:val="00BB4525"/>
    <w:rsid w:val="00BC627C"/>
    <w:rsid w:val="00BD2B91"/>
    <w:rsid w:val="00BD50E1"/>
    <w:rsid w:val="00BE1D3C"/>
    <w:rsid w:val="00BE5F73"/>
    <w:rsid w:val="00C0260F"/>
    <w:rsid w:val="00C04676"/>
    <w:rsid w:val="00C12185"/>
    <w:rsid w:val="00C24A7A"/>
    <w:rsid w:val="00C37973"/>
    <w:rsid w:val="00C416C7"/>
    <w:rsid w:val="00C47369"/>
    <w:rsid w:val="00C52F94"/>
    <w:rsid w:val="00C601F2"/>
    <w:rsid w:val="00C67DE3"/>
    <w:rsid w:val="00C87F7E"/>
    <w:rsid w:val="00CA1AD8"/>
    <w:rsid w:val="00CA690E"/>
    <w:rsid w:val="00CC4DE9"/>
    <w:rsid w:val="00CF7438"/>
    <w:rsid w:val="00D1208F"/>
    <w:rsid w:val="00D4292F"/>
    <w:rsid w:val="00D45D3D"/>
    <w:rsid w:val="00D57F4B"/>
    <w:rsid w:val="00D61B12"/>
    <w:rsid w:val="00D61F66"/>
    <w:rsid w:val="00D6566F"/>
    <w:rsid w:val="00D66FD9"/>
    <w:rsid w:val="00D72CA0"/>
    <w:rsid w:val="00D754BF"/>
    <w:rsid w:val="00D75AB0"/>
    <w:rsid w:val="00D81611"/>
    <w:rsid w:val="00D83C78"/>
    <w:rsid w:val="00D87846"/>
    <w:rsid w:val="00D909EB"/>
    <w:rsid w:val="00DC0542"/>
    <w:rsid w:val="00DD526F"/>
    <w:rsid w:val="00DE034D"/>
    <w:rsid w:val="00DF28C0"/>
    <w:rsid w:val="00E0352C"/>
    <w:rsid w:val="00E314F0"/>
    <w:rsid w:val="00E31F94"/>
    <w:rsid w:val="00E351F6"/>
    <w:rsid w:val="00E4555D"/>
    <w:rsid w:val="00E522C8"/>
    <w:rsid w:val="00E61461"/>
    <w:rsid w:val="00EA1FEB"/>
    <w:rsid w:val="00EB59AE"/>
    <w:rsid w:val="00ED2877"/>
    <w:rsid w:val="00EF05DB"/>
    <w:rsid w:val="00EF1281"/>
    <w:rsid w:val="00EF5819"/>
    <w:rsid w:val="00F009BA"/>
    <w:rsid w:val="00F0602F"/>
    <w:rsid w:val="00F06165"/>
    <w:rsid w:val="00F1654E"/>
    <w:rsid w:val="00F202A8"/>
    <w:rsid w:val="00F2091F"/>
    <w:rsid w:val="00F259E8"/>
    <w:rsid w:val="00F53BBA"/>
    <w:rsid w:val="00F568B9"/>
    <w:rsid w:val="00F606BB"/>
    <w:rsid w:val="00F622C0"/>
    <w:rsid w:val="00F74C59"/>
    <w:rsid w:val="00F75C71"/>
    <w:rsid w:val="00F75F3A"/>
    <w:rsid w:val="00F762E3"/>
    <w:rsid w:val="00F9397A"/>
    <w:rsid w:val="00FA2A34"/>
    <w:rsid w:val="00FC7F92"/>
    <w:rsid w:val="00FD1E77"/>
    <w:rsid w:val="00FF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7F83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pPr>
      <w:ind w:left="863" w:hanging="720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spacing w:before="198"/>
      <w:ind w:left="143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spacing w:before="83"/>
      <w:ind w:left="143"/>
      <w:outlineLvl w:val="2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E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59"/>
      <w:ind w:left="143"/>
    </w:pPr>
  </w:style>
  <w:style w:type="paragraph" w:styleId="a5">
    <w:name w:val="Title"/>
    <w:basedOn w:val="a"/>
    <w:link w:val="a6"/>
    <w:uiPriority w:val="10"/>
    <w:qFormat/>
    <w:pPr>
      <w:ind w:left="3" w:right="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pPr>
      <w:ind w:left="863" w:hanging="720"/>
    </w:pPr>
  </w:style>
  <w:style w:type="paragraph" w:customStyle="1" w:styleId="TableParagraph">
    <w:name w:val="Table Paragraph"/>
    <w:basedOn w:val="a"/>
    <w:uiPriority w:val="1"/>
    <w:qFormat/>
    <w:pPr>
      <w:spacing w:before="19"/>
      <w:ind w:left="107"/>
    </w:pPr>
  </w:style>
  <w:style w:type="paragraph" w:styleId="a8">
    <w:name w:val="header"/>
    <w:basedOn w:val="a"/>
    <w:link w:val="a9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3E9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3E9F"/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unhideWhenUsed/>
    <w:rsid w:val="008E7D7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8E7D79"/>
    <w:rPr>
      <w:b/>
      <w:bCs/>
    </w:rPr>
  </w:style>
  <w:style w:type="character" w:styleId="ae">
    <w:name w:val="Emphasis"/>
    <w:basedOn w:val="a0"/>
    <w:uiPriority w:val="20"/>
    <w:qFormat/>
    <w:rsid w:val="008E7D7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AC693B"/>
    <w:rPr>
      <w:rFonts w:ascii="Times New Roman" w:eastAsia="Times New Roman" w:hAnsi="Times New Roman" w:cs="Times New Roman"/>
      <w:b/>
      <w:bCs/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AC693B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39"/>
    <w:rsid w:val="00EF1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egp0gi0b9av8jahpyh">
    <w:name w:val="anegp0gi0b9av8jahpyh"/>
    <w:basedOn w:val="a0"/>
    <w:rsid w:val="00AC0868"/>
  </w:style>
  <w:style w:type="character" w:customStyle="1" w:styleId="60">
    <w:name w:val="Заголовок 6 Знак"/>
    <w:basedOn w:val="a0"/>
    <w:link w:val="6"/>
    <w:uiPriority w:val="9"/>
    <w:semiHidden/>
    <w:rsid w:val="00AB6E5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0">
    <w:name w:val="Hyperlink"/>
    <w:basedOn w:val="a0"/>
    <w:unhideWhenUsed/>
    <w:rsid w:val="002F271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121B"/>
    <w:rPr>
      <w:color w:val="605E5C"/>
      <w:shd w:val="clear" w:color="auto" w:fill="E1DFDD"/>
    </w:rPr>
  </w:style>
  <w:style w:type="character" w:customStyle="1" w:styleId="a6">
    <w:name w:val="Название Знак"/>
    <w:basedOn w:val="a0"/>
    <w:link w:val="a5"/>
    <w:uiPriority w:val="10"/>
    <w:rsid w:val="0093121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1">
    <w:name w:val="No Spacing"/>
    <w:uiPriority w:val="1"/>
    <w:qFormat/>
    <w:rsid w:val="00BE5F7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pPr>
      <w:ind w:left="863" w:hanging="720"/>
      <w:outlineLvl w:val="0"/>
    </w:pPr>
    <w:rPr>
      <w:b/>
      <w:bCs/>
    </w:rPr>
  </w:style>
  <w:style w:type="paragraph" w:styleId="2">
    <w:name w:val="heading 2"/>
    <w:basedOn w:val="a"/>
    <w:link w:val="20"/>
    <w:uiPriority w:val="9"/>
    <w:unhideWhenUsed/>
    <w:qFormat/>
    <w:pPr>
      <w:spacing w:before="198"/>
      <w:ind w:left="143"/>
      <w:outlineLvl w:val="1"/>
    </w:pPr>
    <w:rPr>
      <w:b/>
      <w:bCs/>
    </w:rPr>
  </w:style>
  <w:style w:type="paragraph" w:styleId="3">
    <w:name w:val="heading 3"/>
    <w:basedOn w:val="a"/>
    <w:link w:val="30"/>
    <w:uiPriority w:val="9"/>
    <w:unhideWhenUsed/>
    <w:qFormat/>
    <w:pPr>
      <w:spacing w:before="83"/>
      <w:ind w:left="143"/>
      <w:outlineLvl w:val="2"/>
    </w:pPr>
    <w:rPr>
      <w:b/>
      <w:bCs/>
      <w:i/>
      <w:iCs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E5B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59"/>
      <w:ind w:left="143"/>
    </w:pPr>
  </w:style>
  <w:style w:type="paragraph" w:styleId="a5">
    <w:name w:val="Title"/>
    <w:basedOn w:val="a"/>
    <w:link w:val="a6"/>
    <w:uiPriority w:val="10"/>
    <w:qFormat/>
    <w:pPr>
      <w:ind w:left="3" w:right="7"/>
      <w:jc w:val="center"/>
    </w:pPr>
    <w:rPr>
      <w:b/>
      <w:bCs/>
      <w:sz w:val="36"/>
      <w:szCs w:val="36"/>
    </w:rPr>
  </w:style>
  <w:style w:type="paragraph" w:styleId="a7">
    <w:name w:val="List Paragraph"/>
    <w:basedOn w:val="a"/>
    <w:uiPriority w:val="1"/>
    <w:qFormat/>
    <w:pPr>
      <w:ind w:left="863" w:hanging="720"/>
    </w:pPr>
  </w:style>
  <w:style w:type="paragraph" w:customStyle="1" w:styleId="TableParagraph">
    <w:name w:val="Table Paragraph"/>
    <w:basedOn w:val="a"/>
    <w:uiPriority w:val="1"/>
    <w:qFormat/>
    <w:pPr>
      <w:spacing w:before="19"/>
      <w:ind w:left="107"/>
    </w:pPr>
  </w:style>
  <w:style w:type="paragraph" w:styleId="a8">
    <w:name w:val="header"/>
    <w:basedOn w:val="a"/>
    <w:link w:val="a9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03E9F"/>
    <w:rPr>
      <w:rFonts w:ascii="Times New Roman" w:eastAsia="Times New Roman" w:hAnsi="Times New Roman" w:cs="Times New Roman"/>
    </w:rPr>
  </w:style>
  <w:style w:type="paragraph" w:styleId="aa">
    <w:name w:val="footer"/>
    <w:basedOn w:val="a"/>
    <w:link w:val="ab"/>
    <w:uiPriority w:val="99"/>
    <w:unhideWhenUsed/>
    <w:rsid w:val="00203E9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03E9F"/>
    <w:rPr>
      <w:rFonts w:ascii="Times New Roman" w:eastAsia="Times New Roman" w:hAnsi="Times New Roman" w:cs="Times New Roman"/>
    </w:rPr>
  </w:style>
  <w:style w:type="paragraph" w:styleId="ac">
    <w:name w:val="Normal (Web)"/>
    <w:basedOn w:val="a"/>
    <w:uiPriority w:val="99"/>
    <w:unhideWhenUsed/>
    <w:rsid w:val="008E7D79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8E7D79"/>
    <w:rPr>
      <w:b/>
      <w:bCs/>
    </w:rPr>
  </w:style>
  <w:style w:type="character" w:styleId="ae">
    <w:name w:val="Emphasis"/>
    <w:basedOn w:val="a0"/>
    <w:uiPriority w:val="20"/>
    <w:qFormat/>
    <w:rsid w:val="008E7D79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rsid w:val="00AC693B"/>
    <w:rPr>
      <w:rFonts w:ascii="Times New Roman" w:eastAsia="Times New Roman" w:hAnsi="Times New Roman" w:cs="Times New Roman"/>
      <w:b/>
      <w:bCs/>
    </w:rPr>
  </w:style>
  <w:style w:type="character" w:customStyle="1" w:styleId="30">
    <w:name w:val="Заголовок 3 Знак"/>
    <w:basedOn w:val="a0"/>
    <w:link w:val="3"/>
    <w:uiPriority w:val="9"/>
    <w:rsid w:val="00AC693B"/>
    <w:rPr>
      <w:rFonts w:ascii="Times New Roman" w:eastAsia="Times New Roman" w:hAnsi="Times New Roman" w:cs="Times New Roman"/>
      <w:b/>
      <w:bCs/>
      <w:i/>
      <w:iCs/>
    </w:rPr>
  </w:style>
  <w:style w:type="character" w:customStyle="1" w:styleId="a4">
    <w:name w:val="Основной текст Знак"/>
    <w:basedOn w:val="a0"/>
    <w:link w:val="a3"/>
    <w:uiPriority w:val="1"/>
    <w:rsid w:val="00AC693B"/>
    <w:rPr>
      <w:rFonts w:ascii="Times New Roman" w:eastAsia="Times New Roman" w:hAnsi="Times New Roman" w:cs="Times New Roman"/>
    </w:rPr>
  </w:style>
  <w:style w:type="table" w:styleId="af">
    <w:name w:val="Table Grid"/>
    <w:basedOn w:val="a1"/>
    <w:uiPriority w:val="39"/>
    <w:rsid w:val="00EF128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egp0gi0b9av8jahpyh">
    <w:name w:val="anegp0gi0b9av8jahpyh"/>
    <w:basedOn w:val="a0"/>
    <w:rsid w:val="00AC0868"/>
  </w:style>
  <w:style w:type="character" w:customStyle="1" w:styleId="60">
    <w:name w:val="Заголовок 6 Знак"/>
    <w:basedOn w:val="a0"/>
    <w:link w:val="6"/>
    <w:uiPriority w:val="9"/>
    <w:semiHidden/>
    <w:rsid w:val="00AB6E5B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f0">
    <w:name w:val="Hyperlink"/>
    <w:basedOn w:val="a0"/>
    <w:unhideWhenUsed/>
    <w:rsid w:val="002F271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93121B"/>
    <w:rPr>
      <w:color w:val="605E5C"/>
      <w:shd w:val="clear" w:color="auto" w:fill="E1DFDD"/>
    </w:rPr>
  </w:style>
  <w:style w:type="character" w:customStyle="1" w:styleId="a6">
    <w:name w:val="Название Знак"/>
    <w:basedOn w:val="a0"/>
    <w:link w:val="a5"/>
    <w:uiPriority w:val="10"/>
    <w:rsid w:val="0093121B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f1">
    <w:name w:val="No Spacing"/>
    <w:uiPriority w:val="1"/>
    <w:qFormat/>
    <w:rsid w:val="00BE5F73"/>
    <w:pPr>
      <w:widowControl/>
      <w:autoSpaceDE/>
      <w:autoSpaceDN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snpharmalab@outlook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formulation@msnlabs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ndda.kz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19C7F-80E3-4E5E-A064-EDCCB3253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14</Pages>
  <Words>5264</Words>
  <Characters>30007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Эксперт</cp:lastModifiedBy>
  <cp:revision>4</cp:revision>
  <dcterms:created xsi:type="dcterms:W3CDTF">2026-02-20T06:12:00Z</dcterms:created>
  <dcterms:modified xsi:type="dcterms:W3CDTF">2026-02-20T06:51:00Z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2025-08-09T00:00:00Z</vt:filetime>
  </property>
  <property fmtid="{D5CDD505-2E9C-101B-9397-08002B2CF9AE}" pid="3" name="Creator">
    <vt:lpwstr>Acrobat PDFMaker 24 for Word</vt:lpwstr>
  </property>
  <property fmtid="{D5CDD505-2E9C-101B-9397-08002B2CF9AE}" pid="4" name="LastSaved">
    <vt:filetime>2025-09-29T00:00:00Z</vt:filetime>
  </property>
  <property fmtid="{D5CDD505-2E9C-101B-9397-08002B2CF9AE}" pid="5" name="Producer">
    <vt:lpwstr>Adobe PDF Library 24.2.13</vt:lpwstr>
  </property>
  <property fmtid="{D5CDD505-2E9C-101B-9397-08002B2CF9AE}" pid="6" name="SourceModified">
    <vt:lpwstr/>
  </property>
</Properties>
</file>